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77777777" w:rsidR="005F2125" w:rsidRPr="00076B51" w:rsidRDefault="005F2125" w:rsidP="005F2125">
      <w:pPr>
        <w:pStyle w:val="Title"/>
      </w:pPr>
      <w:r w:rsidRPr="00885891">
        <w:rPr>
          <w:rStyle w:val="TitleChar"/>
        </w:rPr>
        <w:t xml:space="preserve">Preparation Opportunity: </w:t>
      </w:r>
      <w:r w:rsidRPr="00076B51">
        <w:t>Setting up for the Year Ahead</w:t>
      </w:r>
    </w:p>
    <w:p w14:paraId="57FC8B05" w14:textId="723CBC84" w:rsidR="00B10047" w:rsidRDefault="005F2125" w:rsidP="006E1B1F">
      <w:pPr>
        <w:pStyle w:val="Subtitle"/>
      </w:pPr>
      <w:r>
        <w:t>Session 0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4670"/>
        <w:gridCol w:w="4670"/>
      </w:tblGrid>
      <w:tr w:rsidR="005F2125" w:rsidRPr="005F2125" w14:paraId="5355DEB7" w14:textId="77777777" w:rsidTr="005F2125">
        <w:trPr>
          <w:trHeight w:val="16"/>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7777777" w:rsidR="005F2125" w:rsidRPr="005F2125" w:rsidRDefault="005F2125" w:rsidP="005F2125">
            <w:pPr>
              <w:spacing w:after="0" w:line="240" w:lineRule="auto"/>
            </w:pPr>
            <w:r w:rsidRPr="005F2125">
              <w:rPr>
                <w:b/>
                <w:bCs/>
              </w:rPr>
              <w:t>Team Time!</w:t>
            </w:r>
          </w:p>
        </w:tc>
      </w:tr>
      <w:tr w:rsidR="005F2125" w:rsidRPr="005F2125" w14:paraId="2CD93421" w14:textId="77777777" w:rsidTr="005F2125">
        <w:trPr>
          <w:trHeight w:val="1786"/>
        </w:trPr>
        <w:tc>
          <w:tcPr>
            <w:tcW w:w="25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204E001A" w14:textId="77777777" w:rsidR="005F2125" w:rsidRPr="005F2125" w:rsidRDefault="005F2125" w:rsidP="005F2125">
            <w:pPr>
              <w:spacing w:after="0" w:line="240" w:lineRule="auto"/>
            </w:pPr>
            <w:r w:rsidRPr="005F2125">
              <w:rPr>
                <w:b/>
                <w:bCs/>
              </w:rPr>
              <w:t xml:space="preserve">Priority #1: </w:t>
            </w:r>
            <w:r w:rsidRPr="005F2125">
              <w:t>Finalize Ci3T Implementation Manual; verify it includes:</w:t>
            </w:r>
          </w:p>
          <w:p w14:paraId="6B66B551" w14:textId="77777777" w:rsidR="005F2125" w:rsidRPr="005F2125" w:rsidRDefault="005F2125" w:rsidP="005F2125">
            <w:pPr>
              <w:numPr>
                <w:ilvl w:val="0"/>
                <w:numId w:val="16"/>
              </w:numPr>
              <w:spacing w:after="0" w:line="240" w:lineRule="auto"/>
            </w:pPr>
            <w:r w:rsidRPr="005F2125">
              <w:t>Primary (Tier 1) Prevention Plan</w:t>
            </w:r>
          </w:p>
          <w:p w14:paraId="5E46D664" w14:textId="77777777" w:rsidR="005F2125" w:rsidRPr="005F2125" w:rsidRDefault="005F2125" w:rsidP="005F2125">
            <w:pPr>
              <w:numPr>
                <w:ilvl w:val="0"/>
                <w:numId w:val="16"/>
              </w:numPr>
              <w:spacing w:after="0" w:line="240" w:lineRule="auto"/>
            </w:pPr>
            <w:r w:rsidRPr="005F2125">
              <w:t>Reactive Plan</w:t>
            </w:r>
          </w:p>
          <w:p w14:paraId="5E9B9ECE" w14:textId="77777777" w:rsidR="005F2125" w:rsidRPr="005F2125" w:rsidRDefault="005F2125" w:rsidP="005F2125">
            <w:pPr>
              <w:numPr>
                <w:ilvl w:val="0"/>
                <w:numId w:val="16"/>
              </w:numPr>
              <w:spacing w:after="0" w:line="240" w:lineRule="auto"/>
            </w:pPr>
            <w:r w:rsidRPr="005F2125">
              <w:t>Expectation Matrix</w:t>
            </w:r>
          </w:p>
          <w:p w14:paraId="132834EF" w14:textId="77777777" w:rsidR="005F2125" w:rsidRPr="005F2125" w:rsidRDefault="005F2125" w:rsidP="005F2125">
            <w:pPr>
              <w:numPr>
                <w:ilvl w:val="0"/>
                <w:numId w:val="16"/>
              </w:numPr>
              <w:spacing w:after="0" w:line="240" w:lineRule="auto"/>
            </w:pPr>
            <w:r w:rsidRPr="005F2125">
              <w:t>Assessment Schedule</w:t>
            </w:r>
          </w:p>
          <w:p w14:paraId="08835E1D" w14:textId="77777777" w:rsidR="005F2125" w:rsidRPr="005F2125" w:rsidRDefault="005F2125" w:rsidP="005F2125">
            <w:pPr>
              <w:numPr>
                <w:ilvl w:val="0"/>
                <w:numId w:val="16"/>
              </w:numPr>
              <w:spacing w:after="0" w:line="240" w:lineRule="auto"/>
            </w:pPr>
            <w:r w:rsidRPr="005F2125">
              <w:t>Secondary (Tier 2) Intervention Grid</w:t>
            </w:r>
          </w:p>
          <w:p w14:paraId="32BE353C" w14:textId="77777777" w:rsidR="005F2125" w:rsidRPr="005F2125" w:rsidRDefault="005F2125" w:rsidP="005F2125">
            <w:pPr>
              <w:numPr>
                <w:ilvl w:val="0"/>
                <w:numId w:val="16"/>
              </w:numPr>
              <w:spacing w:after="0" w:line="240" w:lineRule="auto"/>
            </w:pPr>
            <w:r w:rsidRPr="005F2125">
              <w:t>Tertiary (Tier 3) Intervention Grid</w:t>
            </w:r>
          </w:p>
          <w:p w14:paraId="460D0933" w14:textId="77777777" w:rsidR="005F2125" w:rsidRPr="005F2125" w:rsidRDefault="005F2125" w:rsidP="005F2125">
            <w:pPr>
              <w:numPr>
                <w:ilvl w:val="0"/>
                <w:numId w:val="16"/>
              </w:numPr>
              <w:spacing w:after="0" w:line="240" w:lineRule="auto"/>
            </w:pPr>
            <w:r w:rsidRPr="005F2125">
              <w:t>Frequently Asked Questions (FAQ)</w:t>
            </w:r>
          </w:p>
        </w:tc>
        <w:tc>
          <w:tcPr>
            <w:tcW w:w="25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7D26D186" w14:textId="77777777" w:rsidR="005F2125" w:rsidRPr="005F2125" w:rsidRDefault="005F2125" w:rsidP="005F2125">
            <w:pPr>
              <w:spacing w:after="0" w:line="240" w:lineRule="auto"/>
            </w:pPr>
            <w:r w:rsidRPr="005F2125">
              <w:rPr>
                <w:b/>
                <w:bCs/>
              </w:rPr>
              <w:t xml:space="preserve">Priority #2: </w:t>
            </w:r>
            <w:r w:rsidRPr="005F2125">
              <w:t>Prepare / Polish / Finalize Implementation Materials, which may include:</w:t>
            </w:r>
          </w:p>
          <w:p w14:paraId="55410660" w14:textId="77777777" w:rsidR="005F2125" w:rsidRPr="005F2125" w:rsidRDefault="005F2125" w:rsidP="005F2125">
            <w:pPr>
              <w:numPr>
                <w:ilvl w:val="0"/>
                <w:numId w:val="17"/>
              </w:numPr>
              <w:spacing w:after="0" w:line="240" w:lineRule="auto"/>
            </w:pPr>
            <w:r w:rsidRPr="005F2125">
              <w:t>Ci3T Implementation Manual</w:t>
            </w:r>
          </w:p>
          <w:p w14:paraId="3A9E8517" w14:textId="77777777" w:rsidR="005F2125" w:rsidRPr="005F2125" w:rsidRDefault="005F2125" w:rsidP="005F2125">
            <w:pPr>
              <w:numPr>
                <w:ilvl w:val="0"/>
                <w:numId w:val="17"/>
              </w:numPr>
              <w:spacing w:after="0" w:line="240" w:lineRule="auto"/>
            </w:pPr>
            <w:r w:rsidRPr="005F2125">
              <w:t>Faculty presentation</w:t>
            </w:r>
          </w:p>
          <w:p w14:paraId="6E6492A1" w14:textId="77777777" w:rsidR="005F2125" w:rsidRPr="005F2125" w:rsidRDefault="005F2125" w:rsidP="005F2125">
            <w:pPr>
              <w:numPr>
                <w:ilvl w:val="0"/>
                <w:numId w:val="17"/>
              </w:numPr>
              <w:spacing w:after="0" w:line="240" w:lineRule="auto"/>
            </w:pPr>
            <w:r w:rsidRPr="005F2125">
              <w:t>Setting Expectations Lesson Plans</w:t>
            </w:r>
          </w:p>
          <w:p w14:paraId="235A0B13" w14:textId="77777777" w:rsidR="005F2125" w:rsidRPr="005F2125" w:rsidRDefault="005F2125" w:rsidP="005F2125">
            <w:pPr>
              <w:numPr>
                <w:ilvl w:val="0"/>
                <w:numId w:val="17"/>
              </w:numPr>
              <w:spacing w:after="0" w:line="240" w:lineRule="auto"/>
            </w:pPr>
            <w:r w:rsidRPr="005F2125">
              <w:t>Parent Materials</w:t>
            </w:r>
          </w:p>
          <w:p w14:paraId="5067909F" w14:textId="77777777" w:rsidR="005F2125" w:rsidRPr="005F2125" w:rsidRDefault="005F2125" w:rsidP="005F2125">
            <w:pPr>
              <w:numPr>
                <w:ilvl w:val="1"/>
                <w:numId w:val="17"/>
              </w:numPr>
              <w:spacing w:after="0" w:line="240" w:lineRule="auto"/>
            </w:pPr>
            <w:r w:rsidRPr="005F2125">
              <w:t>parent letter</w:t>
            </w:r>
          </w:p>
          <w:p w14:paraId="302410DC" w14:textId="77777777" w:rsidR="005F2125" w:rsidRPr="005F2125" w:rsidRDefault="005F2125" w:rsidP="005F2125">
            <w:pPr>
              <w:numPr>
                <w:ilvl w:val="1"/>
                <w:numId w:val="17"/>
              </w:numPr>
              <w:spacing w:after="0" w:line="240" w:lineRule="auto"/>
            </w:pPr>
            <w:r w:rsidRPr="005F2125">
              <w:t>Brochure</w:t>
            </w:r>
          </w:p>
          <w:p w14:paraId="72A78D61" w14:textId="77777777" w:rsidR="005F2125" w:rsidRPr="005F2125" w:rsidRDefault="005F2125" w:rsidP="005F2125">
            <w:pPr>
              <w:numPr>
                <w:ilvl w:val="1"/>
                <w:numId w:val="17"/>
              </w:numPr>
              <w:spacing w:after="0" w:line="240" w:lineRule="auto"/>
            </w:pPr>
            <w:r w:rsidRPr="005F2125">
              <w:t>bookmarks</w:t>
            </w:r>
          </w:p>
          <w:p w14:paraId="20E7AAB1" w14:textId="155EE752" w:rsidR="005F2125" w:rsidRPr="005F2125" w:rsidRDefault="005F2125" w:rsidP="005F2125">
            <w:pPr>
              <w:numPr>
                <w:ilvl w:val="0"/>
                <w:numId w:val="17"/>
              </w:numPr>
              <w:spacing w:after="0" w:line="240" w:lineRule="auto"/>
            </w:pPr>
            <w:r w:rsidRPr="005F2125">
              <w:t>Instructional schedule for social and emotional</w:t>
            </w:r>
            <w:r w:rsidR="00B344B7">
              <w:t xml:space="preserve"> </w:t>
            </w:r>
            <w:r w:rsidRPr="005F2125">
              <w:t>wel</w:t>
            </w:r>
            <w:r w:rsidR="00B344B7">
              <w:t>l-</w:t>
            </w:r>
            <w:r w:rsidRPr="005F2125">
              <w:t>being curriculum</w:t>
            </w:r>
          </w:p>
          <w:p w14:paraId="728C03DE" w14:textId="77777777" w:rsidR="005F2125" w:rsidRPr="005F2125" w:rsidRDefault="005F2125" w:rsidP="005F2125">
            <w:pPr>
              <w:numPr>
                <w:ilvl w:val="0"/>
                <w:numId w:val="17"/>
              </w:numPr>
              <w:spacing w:after="0" w:line="240" w:lineRule="auto"/>
            </w:pPr>
            <w:r w:rsidRPr="005F2125">
              <w:t>Tickets, postcards, non-tangible reinforcers (reinforcement menus)</w:t>
            </w:r>
          </w:p>
          <w:p w14:paraId="007D4500" w14:textId="77777777" w:rsidR="005F2125" w:rsidRPr="005F2125" w:rsidRDefault="005F2125" w:rsidP="005F2125">
            <w:pPr>
              <w:numPr>
                <w:ilvl w:val="0"/>
                <w:numId w:val="17"/>
              </w:numPr>
              <w:spacing w:after="0" w:line="240" w:lineRule="auto"/>
            </w:pPr>
            <w:r w:rsidRPr="005F2125">
              <w:t>Ticket tip sheet</w:t>
            </w:r>
          </w:p>
          <w:p w14:paraId="60CCD376" w14:textId="77777777" w:rsidR="005F2125" w:rsidRPr="005F2125" w:rsidRDefault="005F2125" w:rsidP="005F2125">
            <w:pPr>
              <w:numPr>
                <w:ilvl w:val="0"/>
                <w:numId w:val="17"/>
              </w:numPr>
              <w:spacing w:after="0" w:line="240" w:lineRule="auto"/>
            </w:pPr>
            <w:r w:rsidRPr="005F2125">
              <w:t>Update website with Ci3T Information</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77777777" w:rsidR="005F2125" w:rsidRPr="005F2125" w:rsidRDefault="005F2125" w:rsidP="00090979">
            <w:pPr>
              <w:spacing w:after="0" w:line="240" w:lineRule="auto"/>
            </w:pPr>
            <w:r w:rsidRPr="005F2125">
              <w:rPr>
                <w:b/>
                <w:bCs/>
              </w:rPr>
              <w:t>Team Time!</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1A4CD189" w14:textId="77777777" w:rsidR="005F2125" w:rsidRPr="005F2125" w:rsidRDefault="005F2125" w:rsidP="005F2125">
            <w:pPr>
              <w:spacing w:after="0" w:line="240" w:lineRule="auto"/>
              <w:rPr>
                <w:b/>
                <w:bCs/>
              </w:rPr>
            </w:pPr>
            <w:r w:rsidRPr="005F2125">
              <w:rPr>
                <w:b/>
                <w:bCs/>
              </w:rPr>
              <w:t>Prepare your Ci3T Implementation Calendar</w:t>
            </w:r>
          </w:p>
          <w:p w14:paraId="100F44B9" w14:textId="77777777" w:rsidR="005F2125" w:rsidRPr="005F2125" w:rsidRDefault="005F2125" w:rsidP="005F2125">
            <w:pPr>
              <w:spacing w:after="0" w:line="240" w:lineRule="auto"/>
              <w:rPr>
                <w:b/>
                <w:bCs/>
              </w:rPr>
            </w:pPr>
            <w:r w:rsidRPr="005F2125">
              <w:rPr>
                <w:b/>
                <w:bCs/>
              </w:rPr>
              <w:t>Schedule:</w:t>
            </w:r>
          </w:p>
          <w:p w14:paraId="34CC196A" w14:textId="77777777" w:rsidR="005F2125" w:rsidRPr="005F2125" w:rsidRDefault="005F2125" w:rsidP="005F2125">
            <w:pPr>
              <w:pStyle w:val="ListParagraph"/>
              <w:numPr>
                <w:ilvl w:val="0"/>
                <w:numId w:val="18"/>
              </w:numPr>
              <w:spacing w:after="0" w:line="240" w:lineRule="auto"/>
            </w:pPr>
            <w:r w:rsidRPr="005F2125">
              <w:t>Ci3T Leadership Team Meeting Dates and Faculty and Staff Meeting Date</w:t>
            </w:r>
          </w:p>
          <w:p w14:paraId="14F7D7CB" w14:textId="77777777" w:rsidR="005F2125" w:rsidRPr="005F2125" w:rsidRDefault="005F2125" w:rsidP="005F2125">
            <w:pPr>
              <w:pStyle w:val="ListParagraph"/>
              <w:numPr>
                <w:ilvl w:val="0"/>
                <w:numId w:val="18"/>
              </w:numPr>
              <w:spacing w:after="0" w:line="240" w:lineRule="auto"/>
            </w:pPr>
            <w:r w:rsidRPr="005F2125">
              <w:t>Behavior screening dates for fall, winter, and spring</w:t>
            </w:r>
          </w:p>
          <w:p w14:paraId="031E49E3" w14:textId="77777777" w:rsidR="005F2125" w:rsidRPr="005F2125" w:rsidRDefault="005F2125" w:rsidP="005F2125">
            <w:pPr>
              <w:pStyle w:val="ListParagraph"/>
              <w:numPr>
                <w:ilvl w:val="0"/>
                <w:numId w:val="18"/>
              </w:numPr>
              <w:spacing w:after="0" w:line="240" w:lineRule="auto"/>
            </w:pPr>
            <w:r w:rsidRPr="005F2125">
              <w:t>Potential dates for treatment integrity &amp; social validity data collection</w:t>
            </w:r>
          </w:p>
          <w:p w14:paraId="3C05335A" w14:textId="77777777" w:rsidR="005F2125" w:rsidRPr="005F2125" w:rsidRDefault="005F2125" w:rsidP="005F2125">
            <w:pPr>
              <w:spacing w:after="0" w:line="240" w:lineRule="auto"/>
              <w:rPr>
                <w:b/>
                <w:bCs/>
              </w:rPr>
            </w:pPr>
            <w:r w:rsidRPr="005F2125">
              <w:rPr>
                <w:b/>
                <w:bCs/>
              </w:rPr>
              <w:t>Consider including</w:t>
            </w:r>
          </w:p>
          <w:p w14:paraId="2E8FCBC8" w14:textId="77777777" w:rsidR="005F2125" w:rsidRPr="005F2125" w:rsidRDefault="005F2125" w:rsidP="005F2125">
            <w:pPr>
              <w:spacing w:after="0" w:line="240" w:lineRule="auto"/>
            </w:pPr>
            <w:r w:rsidRPr="005F2125">
              <w:t>Scheduling professional learning opportunities for your</w:t>
            </w:r>
          </w:p>
          <w:p w14:paraId="5D897818" w14:textId="77777777" w:rsidR="005F2125" w:rsidRPr="005F2125" w:rsidRDefault="005F2125" w:rsidP="005F2125">
            <w:pPr>
              <w:pStyle w:val="ListParagraph"/>
              <w:numPr>
                <w:ilvl w:val="0"/>
                <w:numId w:val="19"/>
              </w:numPr>
              <w:spacing w:after="0" w:line="240" w:lineRule="auto"/>
            </w:pPr>
            <w:r w:rsidRPr="005F2125">
              <w:t>Ci3T Leadership Team</w:t>
            </w:r>
          </w:p>
          <w:p w14:paraId="7DD112A6" w14:textId="77777777" w:rsidR="005F2125" w:rsidRPr="005F2125" w:rsidRDefault="005F2125" w:rsidP="005F2125">
            <w:pPr>
              <w:pStyle w:val="ListParagraph"/>
              <w:numPr>
                <w:ilvl w:val="0"/>
                <w:numId w:val="19"/>
              </w:numPr>
              <w:spacing w:after="0" w:line="240" w:lineRule="auto"/>
            </w:pPr>
            <w:r w:rsidRPr="005F2125">
              <w:t>Faculty &amp; Staff</w:t>
            </w:r>
          </w:p>
          <w:p w14:paraId="15A8EDF9" w14:textId="58C553A7" w:rsidR="005F2125" w:rsidRPr="005F2125" w:rsidRDefault="005F2125" w:rsidP="005F2125">
            <w:pPr>
              <w:pStyle w:val="ListParagraph"/>
              <w:numPr>
                <w:ilvl w:val="0"/>
                <w:numId w:val="19"/>
              </w:numPr>
              <w:spacing w:after="0" w:line="240" w:lineRule="auto"/>
            </w:pPr>
            <w:r w:rsidRPr="005F2125">
              <w:t>Master instructional schedule for your school’s social and emotional well-being resource</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7EDB54F1" w:rsidR="005F2125" w:rsidRDefault="005F2125">
      <w:pPr>
        <w:spacing w:line="259" w:lineRule="auto"/>
      </w:pPr>
      <w:r>
        <w:br w:type="page"/>
      </w:r>
    </w:p>
    <w:p w14:paraId="34D92957" w14:textId="075DBFB3"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9340"/>
      </w:tblGrid>
      <w:tr w:rsidR="005F2125" w:rsidRPr="005F2125" w14:paraId="273C4321"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C81B652" w14:textId="77777777" w:rsidR="005F2125" w:rsidRPr="005F2125" w:rsidRDefault="005F2125" w:rsidP="00090979">
            <w:pPr>
              <w:spacing w:after="0" w:line="240" w:lineRule="auto"/>
            </w:pPr>
            <w:r w:rsidRPr="005F2125">
              <w:rPr>
                <w:b/>
                <w:bCs/>
              </w:rPr>
              <w:t>Team Time!</w:t>
            </w:r>
          </w:p>
        </w:tc>
      </w:tr>
      <w:tr w:rsidR="005F2125" w:rsidRPr="005F2125" w14:paraId="69368CF7" w14:textId="77777777" w:rsidTr="00090979">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7539BB2C" w14:textId="77777777" w:rsidR="005F2125" w:rsidRPr="005F2125" w:rsidRDefault="005F2125" w:rsidP="005F2125">
            <w:pPr>
              <w:spacing w:after="0" w:line="240" w:lineRule="auto"/>
              <w:rPr>
                <w:b/>
                <w:bCs/>
              </w:rPr>
            </w:pPr>
            <w:r w:rsidRPr="005F2125">
              <w:rPr>
                <w:b/>
                <w:bCs/>
              </w:rPr>
              <w:t>Create plans to teach the plan to all stakeholders, including:</w:t>
            </w:r>
          </w:p>
          <w:p w14:paraId="42CE6D56" w14:textId="77777777" w:rsidR="005F2125" w:rsidRPr="005F2125" w:rsidRDefault="005F2125" w:rsidP="005F2125">
            <w:pPr>
              <w:pStyle w:val="ListParagraph"/>
              <w:numPr>
                <w:ilvl w:val="0"/>
                <w:numId w:val="21"/>
              </w:numPr>
              <w:spacing w:after="0" w:line="240" w:lineRule="auto"/>
            </w:pPr>
            <w:r w:rsidRPr="005F2125">
              <w:t>Beginning of the year roll-out activities for faculty and staff, students, and parents/families/community members</w:t>
            </w:r>
          </w:p>
          <w:p w14:paraId="04455AE1" w14:textId="77777777" w:rsidR="005F2125" w:rsidRPr="005F2125" w:rsidRDefault="005F2125" w:rsidP="005F2125">
            <w:pPr>
              <w:pStyle w:val="ListParagraph"/>
              <w:numPr>
                <w:ilvl w:val="0"/>
                <w:numId w:val="21"/>
              </w:numPr>
              <w:spacing w:after="0" w:line="240" w:lineRule="auto"/>
            </w:pPr>
            <w:r w:rsidRPr="005F2125">
              <w:t>Ongoing efforts to re-teach the plan as needed</w:t>
            </w:r>
          </w:p>
          <w:p w14:paraId="73BC2D05" w14:textId="77777777" w:rsidR="005F2125" w:rsidRPr="005F2125" w:rsidRDefault="005F2125" w:rsidP="005F2125">
            <w:pPr>
              <w:pStyle w:val="ListParagraph"/>
              <w:numPr>
                <w:ilvl w:val="0"/>
                <w:numId w:val="21"/>
              </w:numPr>
              <w:spacing w:after="0" w:line="240" w:lineRule="auto"/>
            </w:pPr>
            <w:r w:rsidRPr="005F2125">
              <w:t>Reference your Procedures for Teaching section of your Ci3T Implementation Manual!</w:t>
            </w:r>
          </w:p>
          <w:p w14:paraId="15181D5E" w14:textId="52EC817D" w:rsidR="005F2125" w:rsidRPr="005F2125" w:rsidRDefault="005F2125" w:rsidP="005F2125">
            <w:pPr>
              <w:spacing w:after="0" w:line="240" w:lineRule="auto"/>
              <w:rPr>
                <w:b/>
                <w:bCs/>
              </w:rPr>
            </w:pPr>
            <w:r w:rsidRPr="005F2125">
              <w:rPr>
                <w:b/>
                <w:bCs/>
              </w:rPr>
              <w:t>Ensure you have materials necessary to assist in implementing Procedures for Reinforcing. Consider:</w:t>
            </w:r>
          </w:p>
          <w:p w14:paraId="592B5F10" w14:textId="77777777" w:rsidR="005F2125" w:rsidRPr="005F2125" w:rsidRDefault="005F2125" w:rsidP="005F2125">
            <w:pPr>
              <w:pStyle w:val="ListParagraph"/>
              <w:numPr>
                <w:ilvl w:val="0"/>
                <w:numId w:val="22"/>
              </w:numPr>
              <w:spacing w:after="0" w:line="240" w:lineRule="auto"/>
            </w:pPr>
            <w:r w:rsidRPr="005F2125">
              <w:t>Are tickets ready to print (or already printed) for use on the first day of school?</w:t>
            </w:r>
          </w:p>
          <w:p w14:paraId="6FEAC053" w14:textId="77777777" w:rsidR="005F2125" w:rsidRPr="005F2125" w:rsidRDefault="005F2125" w:rsidP="005F2125">
            <w:pPr>
              <w:pStyle w:val="ListParagraph"/>
              <w:numPr>
                <w:ilvl w:val="0"/>
                <w:numId w:val="22"/>
              </w:numPr>
              <w:spacing w:after="0" w:line="240" w:lineRule="auto"/>
            </w:pPr>
            <w:r w:rsidRPr="005F2125">
              <w:t>Do faculty and staff understand the use of reinforcers (e.g., ticket tip sheet)?</w:t>
            </w:r>
          </w:p>
          <w:p w14:paraId="4540FCFF" w14:textId="1BE1365A" w:rsidR="005F2125" w:rsidRPr="005F2125" w:rsidRDefault="005F2125" w:rsidP="005F2125">
            <w:pPr>
              <w:pStyle w:val="ListParagraph"/>
              <w:numPr>
                <w:ilvl w:val="0"/>
                <w:numId w:val="22"/>
              </w:numPr>
              <w:spacing w:after="0" w:line="240" w:lineRule="auto"/>
            </w:pPr>
            <w:r w:rsidRPr="005F2125">
              <w:t>Is the Ci3T Leadership Team prepared to reinforce behavior of other stakeholders?</w:t>
            </w:r>
          </w:p>
        </w:tc>
      </w:tr>
    </w:tbl>
    <w:p w14:paraId="250370C1" w14:textId="77777777" w:rsidR="005F2125" w:rsidRDefault="005F2125" w:rsidP="005F2125">
      <w:pPr>
        <w:pStyle w:val="Heading2"/>
      </w:pPr>
      <w:r>
        <w:t>Notes</w:t>
      </w:r>
    </w:p>
    <w:p w14:paraId="18133B5D" w14:textId="59215B63" w:rsidR="005F2125" w:rsidRPr="005F2125" w:rsidRDefault="005F2125" w:rsidP="005F2125">
      <w:pPr>
        <w:pStyle w:val="ListParagraph"/>
        <w:numPr>
          <w:ilvl w:val="0"/>
          <w:numId w:val="21"/>
        </w:numPr>
      </w:pPr>
    </w:p>
    <w:sectPr w:rsidR="005F2125" w:rsidRPr="005F2125" w:rsidSect="008866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F368" w14:textId="77777777" w:rsidR="00027EE6" w:rsidRDefault="00027EE6" w:rsidP="00712937">
      <w:pPr>
        <w:spacing w:after="0" w:line="240" w:lineRule="auto"/>
      </w:pPr>
      <w:r>
        <w:separator/>
      </w:r>
    </w:p>
  </w:endnote>
  <w:endnote w:type="continuationSeparator" w:id="0">
    <w:p w14:paraId="02D9290E" w14:textId="77777777" w:rsidR="00027EE6" w:rsidRDefault="00027EE6" w:rsidP="00712937">
      <w:pPr>
        <w:spacing w:after="0" w:line="240" w:lineRule="auto"/>
      </w:pPr>
      <w:r>
        <w:continuationSeparator/>
      </w:r>
    </w:p>
  </w:endnote>
  <w:endnote w:type="continuationNotice" w:id="1">
    <w:p w14:paraId="48FDEE12" w14:textId="77777777" w:rsidR="00027EE6" w:rsidRDefault="00027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324D" w14:textId="77777777" w:rsidR="00027EE6" w:rsidRDefault="00027EE6" w:rsidP="00712937">
      <w:pPr>
        <w:spacing w:after="0" w:line="240" w:lineRule="auto"/>
      </w:pPr>
      <w:r>
        <w:separator/>
      </w:r>
    </w:p>
  </w:footnote>
  <w:footnote w:type="continuationSeparator" w:id="0">
    <w:p w14:paraId="5671CD83" w14:textId="77777777" w:rsidR="00027EE6" w:rsidRDefault="00027EE6" w:rsidP="00712937">
      <w:pPr>
        <w:spacing w:after="0" w:line="240" w:lineRule="auto"/>
      </w:pPr>
      <w:r>
        <w:continuationSeparator/>
      </w:r>
    </w:p>
  </w:footnote>
  <w:footnote w:type="continuationNotice" w:id="1">
    <w:p w14:paraId="20BC1C2B" w14:textId="77777777" w:rsidR="00027EE6" w:rsidRDefault="00027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59398B"/>
    <w:multiLevelType w:val="hybridMultilevel"/>
    <w:tmpl w:val="7C6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C001B"/>
    <w:multiLevelType w:val="hybridMultilevel"/>
    <w:tmpl w:val="B5BC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9"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537202135">
    <w:abstractNumId w:val="18"/>
  </w:num>
  <w:num w:numId="2" w16cid:durableId="390857752">
    <w:abstractNumId w:val="21"/>
  </w:num>
  <w:num w:numId="3" w16cid:durableId="1785004872">
    <w:abstractNumId w:val="5"/>
  </w:num>
  <w:num w:numId="4" w16cid:durableId="157892280">
    <w:abstractNumId w:val="6"/>
  </w:num>
  <w:num w:numId="5" w16cid:durableId="1590848140">
    <w:abstractNumId w:val="11"/>
  </w:num>
  <w:num w:numId="6" w16cid:durableId="1703893604">
    <w:abstractNumId w:val="1"/>
  </w:num>
  <w:num w:numId="7" w16cid:durableId="85418953">
    <w:abstractNumId w:val="20"/>
  </w:num>
  <w:num w:numId="8" w16cid:durableId="443967325">
    <w:abstractNumId w:val="10"/>
  </w:num>
  <w:num w:numId="9" w16cid:durableId="443382839">
    <w:abstractNumId w:val="0"/>
  </w:num>
  <w:num w:numId="10" w16cid:durableId="1749881177">
    <w:abstractNumId w:val="17"/>
  </w:num>
  <w:num w:numId="11" w16cid:durableId="2035107395">
    <w:abstractNumId w:val="19"/>
  </w:num>
  <w:num w:numId="12" w16cid:durableId="1564021477">
    <w:abstractNumId w:val="3"/>
  </w:num>
  <w:num w:numId="13" w16cid:durableId="1769421816">
    <w:abstractNumId w:val="2"/>
  </w:num>
  <w:num w:numId="14" w16cid:durableId="119734541">
    <w:abstractNumId w:val="4"/>
  </w:num>
  <w:num w:numId="15" w16cid:durableId="1228148530">
    <w:abstractNumId w:val="8"/>
  </w:num>
  <w:num w:numId="16" w16cid:durableId="2093311801">
    <w:abstractNumId w:val="16"/>
  </w:num>
  <w:num w:numId="17" w16cid:durableId="1073164791">
    <w:abstractNumId w:val="7"/>
  </w:num>
  <w:num w:numId="18" w16cid:durableId="599798869">
    <w:abstractNumId w:val="13"/>
  </w:num>
  <w:num w:numId="19" w16cid:durableId="752898975">
    <w:abstractNumId w:val="9"/>
  </w:num>
  <w:num w:numId="20" w16cid:durableId="1768117649">
    <w:abstractNumId w:val="12"/>
  </w:num>
  <w:num w:numId="21" w16cid:durableId="969556437">
    <w:abstractNumId w:val="14"/>
  </w:num>
  <w:num w:numId="22" w16cid:durableId="1405369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709E7"/>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Sherod, Rebecca Lee</cp:lastModifiedBy>
  <cp:revision>5</cp:revision>
  <dcterms:created xsi:type="dcterms:W3CDTF">2022-07-27T18:09:00Z</dcterms:created>
  <dcterms:modified xsi:type="dcterms:W3CDTF">2022-08-01T18:16:00Z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