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120"/>
        <w:tblW w:w="145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90"/>
        <w:gridCol w:w="4210"/>
        <w:gridCol w:w="3000"/>
        <w:gridCol w:w="2760"/>
        <w:gridCol w:w="2760"/>
      </w:tblGrid>
      <w:tr w:rsidR="003E1C65" w:rsidRPr="003E1C65" w14:paraId="479348AC" w14:textId="77777777" w:rsidTr="00E507B4">
        <w:trPr>
          <w:trHeight w:val="718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86449D" w14:textId="77777777" w:rsidR="003E1C65" w:rsidRPr="00D37FDB" w:rsidRDefault="003E1C65" w:rsidP="007237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37FD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  <w:sz w:val="32"/>
                <w:szCs w:val="32"/>
              </w:rPr>
              <w:t>Support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030D9B" w14:textId="77777777" w:rsidR="003E1C65" w:rsidRPr="00D37FDB" w:rsidRDefault="003E1C65" w:rsidP="007237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37FD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  <w:sz w:val="32"/>
                <w:szCs w:val="32"/>
              </w:rPr>
              <w:t>Description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DD397" w14:textId="77777777" w:rsidR="003E1C65" w:rsidRPr="00D37FDB" w:rsidRDefault="003E1C65" w:rsidP="007237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37FD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  <w:sz w:val="32"/>
                <w:szCs w:val="32"/>
              </w:rPr>
              <w:t>Schoolwide Data:  Entry Criteria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1B316E" w14:textId="77777777" w:rsidR="003E1C65" w:rsidRPr="00D37FDB" w:rsidRDefault="003E1C65" w:rsidP="007237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37FD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  <w:sz w:val="32"/>
                <w:szCs w:val="32"/>
              </w:rPr>
              <w:t>Data to Monitor Progress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44202D" w14:textId="77777777" w:rsidR="003E1C65" w:rsidRPr="00D37FDB" w:rsidRDefault="003E1C65" w:rsidP="007237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37FD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  <w:sz w:val="32"/>
                <w:szCs w:val="32"/>
              </w:rPr>
              <w:t>Exit Criteria</w:t>
            </w:r>
          </w:p>
        </w:tc>
        <w:bookmarkStart w:id="0" w:name="_GoBack"/>
        <w:bookmarkEnd w:id="0"/>
      </w:tr>
      <w:tr w:rsidR="00737276" w:rsidRPr="003E1C65" w14:paraId="57D13B27" w14:textId="77777777" w:rsidTr="00E507B4">
        <w:trPr>
          <w:trHeight w:val="5308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57BEA8" w14:textId="77777777" w:rsidR="00737276" w:rsidRPr="00737276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27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Repeated Readings 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3A1A82" w14:textId="77777777" w:rsidR="00737276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engage in repe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ated</w:t>
            </w: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oral </w:t>
            </w: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>read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 practice (15 min, four days per week; in addition to 90 min core instruction)</w:t>
            </w: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appropriate </w:t>
            </w: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>text passages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build reading fluency, accuracy, and prosody.</w:t>
            </w:r>
          </w:p>
          <w:p w14:paraId="1B5C72F0" w14:textId="77777777" w:rsidR="00737276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Selected passages at the student’s independent reading level (at least 95% accuracy).</w:t>
            </w:r>
          </w:p>
          <w:p w14:paraId="56C7943D" w14:textId="77777777" w:rsidR="0011080B" w:rsidRDefault="0011080B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19BBC6" w14:textId="34CDCD1D" w:rsidR="0011080B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tudents are paired with a competent </w:t>
            </w:r>
            <w:r w:rsidR="00C649F1">
              <w:rPr>
                <w:rFonts w:ascii="Times New Roman" w:eastAsia="Times New Roman" w:hAnsi="Times New Roman" w:cs="Times New Roman"/>
                <w:sz w:val="24"/>
                <w:szCs w:val="24"/>
              </w:rPr>
              <w:t>partner</w:t>
            </w: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(e.g., teacher, paraprofessional,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volunteer or</w:t>
            </w: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peer)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student reads the passage, timing the reading for one min. Then </w:t>
            </w:r>
            <w:r w:rsidR="00380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C649F1">
              <w:rPr>
                <w:rFonts w:ascii="Times New Roman" w:eastAsia="Times New Roman" w:hAnsi="Times New Roman" w:cs="Times New Roman"/>
                <w:sz w:val="24"/>
                <w:szCs w:val="24"/>
              </w:rPr>
              <w:t>partner</w:t>
            </w:r>
            <w:r w:rsidR="00C649F1"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marks errors, insertions, and omissions on a second copy of the passage. The </w:t>
            </w:r>
            <w:r w:rsidR="00C649F1">
              <w:rPr>
                <w:rFonts w:ascii="Times New Roman" w:eastAsia="Times New Roman" w:hAnsi="Times New Roman" w:cs="Times New Roman"/>
                <w:sz w:val="24"/>
                <w:szCs w:val="24"/>
              </w:rPr>
              <w:t>partner</w:t>
            </w:r>
            <w:r w:rsidR="00C649F1"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listens and provides </w:t>
            </w:r>
            <w:r w:rsidR="00380E6E">
              <w:rPr>
                <w:rFonts w:ascii="Times New Roman" w:eastAsia="Times New Roman" w:hAnsi="Times New Roman" w:cs="Times New Roman"/>
                <w:sz w:val="24"/>
                <w:szCs w:val="24"/>
              </w:rPr>
              <w:t>instructive</w:t>
            </w: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feedback.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0E6E">
              <w:rPr>
                <w:rFonts w:ascii="Times New Roman" w:eastAsia="Times New Roman" w:hAnsi="Times New Roman" w:cs="Times New Roman"/>
                <w:sz w:val="24"/>
                <w:szCs w:val="24"/>
              </w:rPr>
              <w:t>Instructive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feedback is pertaining to correct </w:t>
            </w:r>
            <w:r w:rsidR="00380E6E">
              <w:rPr>
                <w:rFonts w:ascii="Times New Roman" w:eastAsia="Times New Roman" w:hAnsi="Times New Roman" w:cs="Times New Roman"/>
                <w:sz w:val="24"/>
                <w:szCs w:val="24"/>
              </w:rPr>
              <w:t>decoding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words omitted during the read aloud, </w:t>
            </w:r>
            <w:r w:rsidR="00380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prosody,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words read correctly per minute. </w:t>
            </w:r>
          </w:p>
          <w:p w14:paraId="31459DE8" w14:textId="77777777" w:rsidR="0011080B" w:rsidRDefault="0011080B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65C866" w14:textId="418EC286" w:rsidR="00737276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 continue the repeated readings until a fluency goal, such as a target number of words read correctly per minute is reached</w:t>
            </w:r>
            <w:r w:rsidR="00380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until an authentic </w:t>
            </w:r>
            <w:r w:rsidR="00380E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end to the activity (e.g., presentation of Readers Theatre)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FC5BCE2" w14:textId="77777777" w:rsidR="00737276" w:rsidRPr="0011080B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Materials:</w:t>
            </w:r>
          </w:p>
          <w:p w14:paraId="7FEBFD0B" w14:textId="77777777" w:rsidR="00737276" w:rsidRDefault="00737276" w:rsidP="00723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6" w:hanging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71E">
              <w:rPr>
                <w:rFonts w:ascii="Times New Roman" w:eastAsia="Times New Roman" w:hAnsi="Times New Roman" w:cs="Times New Roman"/>
                <w:sz w:val="24"/>
                <w:szCs w:val="24"/>
              </w:rPr>
              <w:t>Two copies of the passage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D071E">
              <w:rPr>
                <w:rFonts w:ascii="Times New Roman" w:eastAsia="Times New Roman" w:hAnsi="Times New Roman" w:cs="Times New Roman"/>
                <w:sz w:val="24"/>
                <w:szCs w:val="24"/>
              </w:rPr>
              <w:t>ne for the student reading and another for their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0E6E">
              <w:rPr>
                <w:rFonts w:ascii="Times New Roman" w:eastAsia="Times New Roman" w:hAnsi="Times New Roman" w:cs="Times New Roman"/>
                <w:sz w:val="24"/>
                <w:szCs w:val="24"/>
              </w:rPr>
              <w:t>tutor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B579220" w14:textId="77777777" w:rsidR="00737276" w:rsidRDefault="00380E6E" w:rsidP="00723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6" w:hanging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Graph- w</w:t>
            </w:r>
            <w:r w:rsidR="00737276">
              <w:rPr>
                <w:rFonts w:ascii="Times New Roman" w:eastAsia="Times New Roman" w:hAnsi="Times New Roman" w:cs="Times New Roman"/>
                <w:sz w:val="24"/>
                <w:szCs w:val="24"/>
              </w:rPr>
              <w:t>ords read correctly per minute (WCPM) with goal marked</w:t>
            </w:r>
          </w:p>
          <w:p w14:paraId="098D844F" w14:textId="77777777" w:rsidR="00737276" w:rsidRDefault="00737276" w:rsidP="00723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6" w:hanging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Pencils</w:t>
            </w:r>
          </w:p>
          <w:p w14:paraId="15198466" w14:textId="77777777" w:rsidR="00737276" w:rsidRDefault="00737276" w:rsidP="00723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6" w:hanging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Timer</w:t>
            </w:r>
          </w:p>
          <w:p w14:paraId="0EF8EB4A" w14:textId="77777777" w:rsidR="00737276" w:rsidRDefault="00737276" w:rsidP="00723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6" w:hanging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Peer Feedback Checklist</w:t>
            </w:r>
          </w:p>
          <w:p w14:paraId="7E672C21" w14:textId="09390731" w:rsidR="00737276" w:rsidRPr="00260983" w:rsidRDefault="00737276" w:rsidP="007237E1">
            <w:pPr>
              <w:pStyle w:val="ListParagraph"/>
              <w:spacing w:after="0" w:line="240" w:lineRule="auto"/>
              <w:ind w:left="246" w:hanging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(if utilizing a peer)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14DB4F" w14:textId="77777777" w:rsidR="00737276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9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Academic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62E4023" w14:textId="77777777" w:rsidR="00737276" w:rsidRPr="00FC3880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>AIMSweb</w:t>
            </w:r>
            <w:proofErr w:type="spellEnd"/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Benchmark- Below Target level </w:t>
            </w:r>
          </w:p>
          <w:p w14:paraId="475F61C5" w14:textId="77777777" w:rsidR="00737276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>RCBM- Below 25% percentile</w:t>
            </w:r>
          </w:p>
          <w:p w14:paraId="3136A15A" w14:textId="77777777" w:rsidR="00737276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D8CAEC" w14:textId="77777777" w:rsidR="00737276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ED6F50" w14:textId="77777777" w:rsidR="00737276" w:rsidRPr="00FC3880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AIMSweb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Accuracy % and WCPM:</w:t>
            </w:r>
          </w:p>
          <w:p w14:paraId="19D43704" w14:textId="77777777" w:rsidR="00737276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Meets criteria for </w:t>
            </w:r>
          </w:p>
          <w:p w14:paraId="7D4F5E1B" w14:textId="77777777" w:rsidR="00737276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5A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Accurate and Slow</w:t>
            </w:r>
          </w:p>
          <w:p w14:paraId="68DA20DA" w14:textId="77777777" w:rsidR="00737276" w:rsidRPr="00CF39A6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Accuracy %:</w:t>
            </w:r>
          </w:p>
          <w:p w14:paraId="132B2C88" w14:textId="77777777" w:rsidR="00737276" w:rsidRPr="007C6E8F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C6E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7C6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grade: 95%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higher</w:t>
            </w:r>
          </w:p>
          <w:p w14:paraId="7A580F01" w14:textId="77777777" w:rsidR="00737276" w:rsidRPr="00FC3880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E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F39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7C6E8F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  <w:r w:rsidRPr="007C6E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C6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grade 98% or higher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F44A302" w14:textId="77777777" w:rsidR="00737276" w:rsidRDefault="00737276" w:rsidP="00723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(Group 2 OR Grouping Worksheet)</w:t>
            </w:r>
          </w:p>
          <w:p w14:paraId="272E5121" w14:textId="77777777" w:rsidR="00737276" w:rsidRPr="00BF6AFD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WCPM: Below grade level average.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EB2AD1" w14:textId="77777777" w:rsidR="00737276" w:rsidRPr="00CF39A6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CF39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Academic measures: </w:t>
            </w:r>
          </w:p>
          <w:p w14:paraId="76D666DE" w14:textId="77777777" w:rsidR="00737276" w:rsidRPr="00527DFF" w:rsidRDefault="00737276" w:rsidP="007237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DF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AIMSweb</w:t>
            </w:r>
            <w:proofErr w:type="spellEnd"/>
            <w:r w:rsidRPr="00527DF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weekly progress monitoring RCBM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</w:t>
            </w:r>
          </w:p>
          <w:p w14:paraId="1A3555C7" w14:textId="77777777" w:rsidR="00737276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7DF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br/>
            </w:r>
            <w:r w:rsidRPr="00527DFF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Treatment Integrity:</w:t>
            </w:r>
          </w:p>
          <w:p w14:paraId="0B2861FA" w14:textId="77777777" w:rsidR="00737276" w:rsidRPr="00527DFF" w:rsidRDefault="00737276" w:rsidP="007237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7DF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Implementation &amp; Treatment Integrity Checklists</w:t>
            </w:r>
          </w:p>
          <w:p w14:paraId="27436D84" w14:textId="77777777" w:rsidR="00737276" w:rsidRPr="00527DFF" w:rsidRDefault="00737276" w:rsidP="007237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527DF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Peer feedback checklist.</w:t>
            </w:r>
          </w:p>
          <w:p w14:paraId="60CD358C" w14:textId="77777777" w:rsidR="00737276" w:rsidRPr="00FC3880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3B8C1879" w14:textId="77777777" w:rsidR="00737276" w:rsidRPr="000615D2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0893A0EB" w14:textId="77777777" w:rsidR="00737276" w:rsidRPr="00D22F14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D22F1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Social Validity:</w:t>
            </w:r>
          </w:p>
          <w:p w14:paraId="22910B60" w14:textId="77777777" w:rsidR="00737276" w:rsidRPr="00527DFF" w:rsidRDefault="00737276" w:rsidP="007237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527DF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Teacher: Adapted IRP-15</w:t>
            </w:r>
          </w:p>
          <w:p w14:paraId="316E179A" w14:textId="77777777" w:rsidR="00737276" w:rsidRPr="00527DFF" w:rsidRDefault="00737276" w:rsidP="007237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527DF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Students: Adapted CIRP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8C2B7C" w14:textId="77777777" w:rsidR="00737276" w:rsidRPr="002C2B83" w:rsidRDefault="00737276" w:rsidP="007237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39A6">
              <w:rPr>
                <w:rFonts w:ascii="Times New Roman" w:hAnsi="Times New Roman"/>
                <w:b/>
                <w:sz w:val="24"/>
                <w:szCs w:val="24"/>
              </w:rPr>
              <w:t xml:space="preserve">Academic measures: </w:t>
            </w:r>
          </w:p>
          <w:p w14:paraId="076D2B43" w14:textId="77777777" w:rsidR="00737276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FC388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AIMS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web</w:t>
            </w:r>
            <w:proofErr w:type="spellEnd"/>
            <w:r w:rsidRPr="00FC388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progress monitoring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RCBM: Reaches above targeted aim line for grade level for 3 consecutive assessment opportunities. </w:t>
            </w:r>
          </w:p>
          <w:p w14:paraId="02215C72" w14:textId="77777777" w:rsidR="00737276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54E4303E" w14:textId="77777777" w:rsidR="00737276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Continue progress monitoring until next benchmark and discontinue once student scores meet </w:t>
            </w:r>
            <w:r w:rsidRPr="002C2B83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accuracy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f</w:t>
            </w:r>
            <w:r w:rsidRPr="00356CA8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luency</w:t>
            </w:r>
            <w:r w:rsidRPr="00CF39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criteria </w:t>
            </w:r>
          </w:p>
          <w:p w14:paraId="511BA885" w14:textId="77777777" w:rsidR="00737276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(2</w:t>
            </w:r>
            <w:r w:rsidRPr="002C2B8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grade: 95%, 3</w:t>
            </w:r>
            <w:r w:rsidRPr="002C2B8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-8</w:t>
            </w:r>
            <w:r w:rsidRPr="002C2B8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grade: 98% or higher).</w:t>
            </w:r>
          </w:p>
          <w:p w14:paraId="2D1CD9AC" w14:textId="77777777" w:rsidR="00380E6E" w:rsidRDefault="00380E6E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51E80C65" w14:textId="77777777" w:rsidR="00737276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4E305622" w14:textId="77777777" w:rsidR="00737276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br/>
            </w:r>
          </w:p>
          <w:p w14:paraId="2F652F38" w14:textId="77777777" w:rsidR="00737276" w:rsidRPr="00FC3880" w:rsidRDefault="00737276" w:rsidP="00723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</w:tbl>
    <w:p w14:paraId="10D72FC5" w14:textId="77777777" w:rsidR="00A21458" w:rsidRDefault="00A21458" w:rsidP="00364C98">
      <w:pPr>
        <w:rPr>
          <w:b/>
          <w:sz w:val="32"/>
          <w:szCs w:val="32"/>
        </w:rPr>
      </w:pPr>
    </w:p>
    <w:p w14:paraId="2A5061EC" w14:textId="77777777" w:rsidR="00A21458" w:rsidRDefault="00A21458" w:rsidP="00364C98">
      <w:pPr>
        <w:rPr>
          <w:b/>
          <w:sz w:val="32"/>
          <w:szCs w:val="32"/>
        </w:rPr>
      </w:pPr>
    </w:p>
    <w:tbl>
      <w:tblPr>
        <w:tblpPr w:leftFromText="180" w:rightFromText="180" w:vertAnchor="page" w:horzAnchor="margin" w:tblpXSpec="center" w:tblpY="2356"/>
        <w:tblW w:w="145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00"/>
        <w:gridCol w:w="3700"/>
        <w:gridCol w:w="3000"/>
        <w:gridCol w:w="2760"/>
        <w:gridCol w:w="2760"/>
      </w:tblGrid>
      <w:tr w:rsidR="00A21458" w:rsidRPr="003E1C65" w14:paraId="34D5926C" w14:textId="77777777" w:rsidTr="001D27D2">
        <w:trPr>
          <w:trHeight w:val="96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C96DE7" w14:textId="77777777" w:rsidR="00A21458" w:rsidRPr="00D37FDB" w:rsidRDefault="00A21458" w:rsidP="006251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37FD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  <w:sz w:val="32"/>
                <w:szCs w:val="32"/>
              </w:rPr>
              <w:lastRenderedPageBreak/>
              <w:t>Support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8A2896" w14:textId="77777777" w:rsidR="00A21458" w:rsidRPr="00D37FDB" w:rsidRDefault="00A21458" w:rsidP="006251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37FD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  <w:sz w:val="32"/>
                <w:szCs w:val="32"/>
              </w:rPr>
              <w:t>Description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3CB06" w14:textId="77777777" w:rsidR="00A21458" w:rsidRPr="00D37FDB" w:rsidRDefault="00A21458" w:rsidP="006251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37FD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  <w:sz w:val="32"/>
                <w:szCs w:val="32"/>
              </w:rPr>
              <w:t>Schoolwide Data:  Entry Criteria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D0786E" w14:textId="77777777" w:rsidR="00A21458" w:rsidRPr="00D37FDB" w:rsidRDefault="00A21458" w:rsidP="006251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37FD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  <w:sz w:val="32"/>
                <w:szCs w:val="32"/>
              </w:rPr>
              <w:t>Data to Monitor Progress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A8BFDF" w14:textId="77777777" w:rsidR="00A21458" w:rsidRPr="00D37FDB" w:rsidRDefault="00A21458" w:rsidP="006251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37FD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  <w:sz w:val="32"/>
                <w:szCs w:val="32"/>
              </w:rPr>
              <w:t>Exit Criteria</w:t>
            </w:r>
          </w:p>
        </w:tc>
      </w:tr>
      <w:tr w:rsidR="00737276" w:rsidRPr="003E1C65" w14:paraId="43B23A69" w14:textId="77777777" w:rsidTr="00625137">
        <w:trPr>
          <w:trHeight w:val="3759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5F0CDC" w14:textId="77777777" w:rsidR="00737276" w:rsidRP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27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Repeated Readings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7CFC4F" w14:textId="77777777" w:rsid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engage in repe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ated</w:t>
            </w: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oral </w:t>
            </w: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>read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 practice (15 min, four days per week; in addition to 90 min core instruction)</w:t>
            </w: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appropriate </w:t>
            </w: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>text passages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build reading fluency, accuracy, and prosody.</w:t>
            </w:r>
          </w:p>
          <w:p w14:paraId="2AE838DF" w14:textId="77777777" w:rsid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DA8088" w14:textId="77777777" w:rsid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Selected passages at the student’s independent reading level (at least 95% accuracy).</w:t>
            </w:r>
          </w:p>
          <w:p w14:paraId="3E8199C1" w14:textId="77777777" w:rsid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C2F37" w14:textId="56173AA9" w:rsid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>tudents are paired with a competent tutor (e.g., teacher, paraprofessional,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volunteer or</w:t>
            </w: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peer)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student reads the passage, timing the reading for one min. Then partner marks errors, insertions, and omissions on a second copy of the passage. The partner </w:t>
            </w: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>listens and provides corrective feedback.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Corrective feedback is pertaining to correct pronunciation, words omitted during the read aloud, and words read correctly per minute. </w:t>
            </w:r>
          </w:p>
          <w:p w14:paraId="6FAC1131" w14:textId="77777777" w:rsid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Students continue the repeated readings until a fluency goal, such as a target number of words read correctly per minute is reached. </w:t>
            </w:r>
          </w:p>
          <w:p w14:paraId="371C7831" w14:textId="77777777" w:rsid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BBF26" w14:textId="77777777" w:rsid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71E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Materials:</w:t>
            </w:r>
          </w:p>
          <w:p w14:paraId="4120FC5B" w14:textId="77777777" w:rsidR="00737276" w:rsidRDefault="00737276" w:rsidP="007372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6" w:hanging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71E">
              <w:rPr>
                <w:rFonts w:ascii="Times New Roman" w:eastAsia="Times New Roman" w:hAnsi="Times New Roman" w:cs="Times New Roman"/>
                <w:sz w:val="24"/>
                <w:szCs w:val="24"/>
              </w:rPr>
              <w:t>Two copies of the passage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D071E">
              <w:rPr>
                <w:rFonts w:ascii="Times New Roman" w:eastAsia="Times New Roman" w:hAnsi="Times New Roman" w:cs="Times New Roman"/>
                <w:sz w:val="24"/>
                <w:szCs w:val="24"/>
              </w:rPr>
              <w:t>ne for the student reading and another for their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partner)</w:t>
            </w:r>
            <w:r w:rsidRPr="00FD0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97E09F3" w14:textId="77777777" w:rsidR="00737276" w:rsidRDefault="00737276" w:rsidP="007372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6" w:hanging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Graph- Words read correctly per minute (WCPM) with goal marked</w:t>
            </w:r>
          </w:p>
          <w:p w14:paraId="63506F6A" w14:textId="77777777" w:rsidR="00737276" w:rsidRDefault="00737276" w:rsidP="007372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6" w:hanging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Pencils</w:t>
            </w:r>
          </w:p>
          <w:p w14:paraId="1FCF21EE" w14:textId="77777777" w:rsidR="00737276" w:rsidRDefault="00737276" w:rsidP="007372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6" w:hanging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Timer</w:t>
            </w:r>
          </w:p>
          <w:p w14:paraId="68557AEE" w14:textId="77777777" w:rsidR="00737276" w:rsidRDefault="00737276" w:rsidP="007372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6" w:hanging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Peer Feedback Checklist</w:t>
            </w:r>
          </w:p>
          <w:p w14:paraId="3259E3A3" w14:textId="77777777" w:rsidR="00737276" w:rsidRPr="00260983" w:rsidRDefault="00737276" w:rsidP="00737276">
            <w:pPr>
              <w:pStyle w:val="ListParagraph"/>
              <w:spacing w:after="0" w:line="240" w:lineRule="auto"/>
              <w:ind w:left="246" w:hanging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(if utilizing a peer tutor)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7EC2A0" w14:textId="77777777" w:rsid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9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Academic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2FD48DE" w14:textId="77777777" w:rsidR="00737276" w:rsidRPr="00FC3880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>AIMSweb</w:t>
            </w:r>
            <w:proofErr w:type="spellEnd"/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Benchmark- Below Target level </w:t>
            </w:r>
          </w:p>
          <w:p w14:paraId="09E15733" w14:textId="77777777" w:rsid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880">
              <w:rPr>
                <w:rFonts w:ascii="Times New Roman" w:eastAsia="Times New Roman" w:hAnsi="Times New Roman" w:cs="Times New Roman"/>
                <w:sz w:val="24"/>
                <w:szCs w:val="24"/>
              </w:rPr>
              <w:t>RCBM- Below 25% percentile</w:t>
            </w:r>
          </w:p>
          <w:p w14:paraId="24DAFE3F" w14:textId="77777777" w:rsid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586BA4" w14:textId="77777777" w:rsid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262142" w14:textId="77777777" w:rsidR="00737276" w:rsidRPr="00FC3880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AIMSweb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Accuracy % and WCPM:</w:t>
            </w:r>
          </w:p>
          <w:p w14:paraId="60D6C109" w14:textId="77777777" w:rsid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Meets criteria for </w:t>
            </w:r>
          </w:p>
          <w:p w14:paraId="29B85940" w14:textId="77777777" w:rsid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5A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Accurate and Slow</w:t>
            </w:r>
          </w:p>
          <w:p w14:paraId="2044C411" w14:textId="77777777" w:rsidR="00737276" w:rsidRPr="00CF39A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Accuracy %:</w:t>
            </w:r>
          </w:p>
          <w:p w14:paraId="09229586" w14:textId="77777777" w:rsidR="00737276" w:rsidRPr="00FC3880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7th</w:t>
            </w:r>
            <w:r w:rsidRPr="007C6E8F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  <w:r w:rsidRPr="007C6E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C6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grade 98% or higher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ECEE4E3" w14:textId="77777777" w:rsidR="00737276" w:rsidRDefault="00737276" w:rsidP="00737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(Group 2 OR Grouping Worksheet)</w:t>
            </w:r>
          </w:p>
          <w:p w14:paraId="322F9C93" w14:textId="77777777" w:rsidR="00737276" w:rsidRPr="00BF6AFD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WCPM: Below grade level average.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969183" w14:textId="77777777" w:rsidR="00737276" w:rsidRPr="00CF39A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CF39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Academic measures: </w:t>
            </w:r>
          </w:p>
          <w:p w14:paraId="16592DD4" w14:textId="77777777" w:rsidR="00737276" w:rsidRPr="00527DFF" w:rsidRDefault="00737276" w:rsidP="007372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DF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AIMSweb</w:t>
            </w:r>
            <w:proofErr w:type="spellEnd"/>
            <w:r w:rsidRPr="00527DF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weekly progress monitoring RCBM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</w:t>
            </w:r>
          </w:p>
          <w:p w14:paraId="763FCC51" w14:textId="77777777" w:rsid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7DF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br/>
            </w:r>
            <w:r w:rsidRPr="00527DFF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Treatment Integrity:</w:t>
            </w:r>
          </w:p>
          <w:p w14:paraId="088E495F" w14:textId="77777777" w:rsidR="00737276" w:rsidRPr="00527DFF" w:rsidRDefault="00737276" w:rsidP="007372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7DF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Implementation &amp; Treatment Integrity Checklists</w:t>
            </w:r>
          </w:p>
          <w:p w14:paraId="55A1846C" w14:textId="77777777" w:rsidR="00737276" w:rsidRPr="00527DFF" w:rsidRDefault="00737276" w:rsidP="007372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527DF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Peer feedback checklist.</w:t>
            </w:r>
          </w:p>
          <w:p w14:paraId="306204F1" w14:textId="77777777" w:rsidR="00737276" w:rsidRPr="00FC3880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3B6465FF" w14:textId="77777777" w:rsidR="00737276" w:rsidRPr="000615D2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15A9B650" w14:textId="77777777" w:rsidR="00737276" w:rsidRPr="00D22F14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D22F1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Social Validity:</w:t>
            </w:r>
          </w:p>
          <w:p w14:paraId="2AC3EA43" w14:textId="77777777" w:rsidR="00737276" w:rsidRPr="00527DFF" w:rsidRDefault="00737276" w:rsidP="0073727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527DF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Teacher: Adapted IRP-15</w:t>
            </w:r>
          </w:p>
          <w:p w14:paraId="38FEE5F4" w14:textId="77777777" w:rsidR="00737276" w:rsidRPr="00527DFF" w:rsidRDefault="00737276" w:rsidP="0073727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527DF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Students: Adapted CIRP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8A4C6" w14:textId="77777777" w:rsidR="00737276" w:rsidRPr="002C2B83" w:rsidRDefault="00737276" w:rsidP="007372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39A6">
              <w:rPr>
                <w:rFonts w:ascii="Times New Roman" w:hAnsi="Times New Roman"/>
                <w:b/>
                <w:sz w:val="24"/>
                <w:szCs w:val="24"/>
              </w:rPr>
              <w:t xml:space="preserve">Academic measures: </w:t>
            </w:r>
          </w:p>
          <w:p w14:paraId="1D65FF52" w14:textId="77777777" w:rsid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FC388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AIMS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web</w:t>
            </w:r>
            <w:proofErr w:type="spellEnd"/>
            <w:r w:rsidRPr="00FC388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progress monitoring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RCBM: Reaches above targeted aim line for grade level for 3 consecutive assessment opportunities. </w:t>
            </w:r>
          </w:p>
          <w:p w14:paraId="6D00B9E3" w14:textId="77777777" w:rsid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4FE83625" w14:textId="77777777" w:rsid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Continue progress monitoring until next benchmark and discontinue once student scores meet </w:t>
            </w:r>
            <w:r w:rsidRPr="002C2B83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accuracy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f</w:t>
            </w:r>
            <w:r w:rsidRPr="00356CA8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luency</w:t>
            </w:r>
            <w:r w:rsidRPr="00CF39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criteria.</w:t>
            </w:r>
          </w:p>
          <w:p w14:paraId="1A720CE0" w14:textId="77777777" w:rsidR="00737276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br/>
            </w:r>
          </w:p>
          <w:p w14:paraId="2464A247" w14:textId="77777777" w:rsidR="00737276" w:rsidRPr="00FC3880" w:rsidRDefault="00737276" w:rsidP="007372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</w:tbl>
    <w:p w14:paraId="2777A5F6" w14:textId="77777777" w:rsidR="00A21458" w:rsidRDefault="00A21458" w:rsidP="00A21458">
      <w:pPr>
        <w:rPr>
          <w:b/>
          <w:sz w:val="32"/>
          <w:szCs w:val="32"/>
        </w:rPr>
      </w:pPr>
    </w:p>
    <w:p w14:paraId="3426A3B6" w14:textId="77777777" w:rsidR="00A21458" w:rsidRPr="00E94663" w:rsidRDefault="00A21458" w:rsidP="00364C98">
      <w:pPr>
        <w:rPr>
          <w:b/>
          <w:sz w:val="32"/>
          <w:szCs w:val="32"/>
        </w:rPr>
      </w:pPr>
    </w:p>
    <w:sectPr w:rsidR="00A21458" w:rsidRPr="00E94663" w:rsidSect="00E507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180" w:footer="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A3256" w14:textId="77777777" w:rsidR="003E1C65" w:rsidRDefault="003E1C65" w:rsidP="003E1C65">
      <w:pPr>
        <w:spacing w:after="0" w:line="240" w:lineRule="auto"/>
      </w:pPr>
      <w:r>
        <w:separator/>
      </w:r>
    </w:p>
  </w:endnote>
  <w:endnote w:type="continuationSeparator" w:id="0">
    <w:p w14:paraId="4E548D59" w14:textId="77777777" w:rsidR="003E1C65" w:rsidRDefault="003E1C65" w:rsidP="003E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EC051" w14:textId="6F9C6E9C" w:rsidR="00E507B4" w:rsidRDefault="00E507B4" w:rsidP="00E507B4">
    <w:pPr>
      <w:pStyle w:val="Footer"/>
      <w:jc w:val="center"/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C2B4FE9" wp14:editId="4C25AEC0">
          <wp:simplePos x="0" y="0"/>
          <wp:positionH relativeFrom="column">
            <wp:posOffset>3314159</wp:posOffset>
          </wp:positionH>
          <wp:positionV relativeFrom="paragraph">
            <wp:posOffset>-604784</wp:posOffset>
          </wp:positionV>
          <wp:extent cx="1594510" cy="627927"/>
          <wp:effectExtent l="0" t="0" r="5715" b="127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3T-logo-lowercase-i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510" cy="627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18C14" w14:textId="4C34F7E9" w:rsidR="00A21458" w:rsidRDefault="00E507B4" w:rsidP="00E507B4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27178D92" wp14:editId="29564E1E">
          <wp:extent cx="1594510" cy="627927"/>
          <wp:effectExtent l="0" t="0" r="5715" b="12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3T-logo-lowercase-i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973" cy="634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17DE77" w14:textId="77777777" w:rsidR="00AD63AD" w:rsidRPr="00AD63AD" w:rsidRDefault="00AD63AD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CD77" w14:textId="544DC13C" w:rsidR="00E507B4" w:rsidRDefault="00E507B4">
    <w:pPr>
      <w:pStyle w:val="Footer"/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5FB0FFC" wp14:editId="1E5E71C3">
          <wp:simplePos x="0" y="0"/>
          <wp:positionH relativeFrom="column">
            <wp:posOffset>3324472</wp:posOffset>
          </wp:positionH>
          <wp:positionV relativeFrom="paragraph">
            <wp:posOffset>-627380</wp:posOffset>
          </wp:positionV>
          <wp:extent cx="1594510" cy="627927"/>
          <wp:effectExtent l="0" t="0" r="5715" b="127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3T-logo-lowercase-i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510" cy="627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8C9CD" w14:textId="77777777" w:rsidR="003E1C65" w:rsidRDefault="003E1C65" w:rsidP="003E1C65">
      <w:pPr>
        <w:spacing w:after="0" w:line="240" w:lineRule="auto"/>
      </w:pPr>
      <w:r>
        <w:separator/>
      </w:r>
    </w:p>
  </w:footnote>
  <w:footnote w:type="continuationSeparator" w:id="0">
    <w:p w14:paraId="5346282E" w14:textId="77777777" w:rsidR="003E1C65" w:rsidRDefault="003E1C65" w:rsidP="003E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68F50" w14:textId="77777777" w:rsidR="00E507B4" w:rsidRDefault="00E507B4" w:rsidP="00E507B4">
    <w:pPr>
      <w:pStyle w:val="Header"/>
      <w:jc w:val="right"/>
      <w:rPr>
        <w:rFonts w:ascii="Times New Roman" w:hAnsi="Times New Roman" w:cs="Times New Roman"/>
      </w:rPr>
    </w:pPr>
  </w:p>
  <w:p w14:paraId="133A26BD" w14:textId="456899F1" w:rsidR="00E507B4" w:rsidRPr="00E507B4" w:rsidRDefault="00E507B4" w:rsidP="00E507B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2016-2017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0E7DB" w14:textId="77777777" w:rsidR="00737276" w:rsidRDefault="00737276" w:rsidP="00737276">
    <w:pPr>
      <w:jc w:val="right"/>
      <w:rPr>
        <w:rFonts w:ascii="Times New Roman" w:hAnsi="Times New Roman" w:cs="Times New Roman"/>
      </w:rPr>
    </w:pPr>
  </w:p>
  <w:p w14:paraId="471BB39F" w14:textId="5BD362A3" w:rsidR="00737276" w:rsidRDefault="007237E1" w:rsidP="00737276">
    <w:pPr>
      <w:jc w:val="right"/>
      <w:rPr>
        <w:rFonts w:ascii="Times New Roman" w:hAnsi="Times New Roman" w:cs="Times New Roman"/>
        <w:b/>
        <w:sz w:val="48"/>
        <w:szCs w:val="48"/>
      </w:rPr>
    </w:pPr>
    <w:r>
      <w:rPr>
        <w:rFonts w:ascii="Times New Roman" w:hAnsi="Times New Roman" w:cs="Times New Roman"/>
      </w:rPr>
      <w:t>2016-2017</w:t>
    </w:r>
  </w:p>
  <w:p w14:paraId="3BE92231" w14:textId="4EFF9F14" w:rsidR="009023A8" w:rsidRPr="00737276" w:rsidRDefault="007237E1" w:rsidP="007237E1">
    <w:pPr>
      <w:pStyle w:val="Header"/>
      <w:jc w:val="center"/>
    </w:pPr>
    <w:r w:rsidRPr="00C0196A">
      <w:rPr>
        <w:rFonts w:ascii="Times New Roman" w:hAnsi="Times New Roman" w:cs="Times New Roman"/>
        <w:sz w:val="40"/>
      </w:rPr>
      <w:t>Secondary (Tier 2) Intervention Grid: For Middle and High School Students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2E196" w14:textId="77777777" w:rsidR="00737276" w:rsidRDefault="00737276" w:rsidP="00737276">
    <w:pPr>
      <w:pStyle w:val="Header"/>
      <w:jc w:val="right"/>
      <w:rPr>
        <w:rFonts w:ascii="Times New Roman" w:hAnsi="Times New Roman" w:cs="Times New Roman"/>
      </w:rPr>
    </w:pPr>
  </w:p>
  <w:p w14:paraId="6E3536F1" w14:textId="31643CBA" w:rsidR="00737276" w:rsidRDefault="007237E1" w:rsidP="00737276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2016-2017</w:t>
    </w:r>
  </w:p>
  <w:p w14:paraId="60CC6EAB" w14:textId="63EF64F2" w:rsidR="00737276" w:rsidRPr="00E507B4" w:rsidRDefault="007237E1" w:rsidP="00E507B4">
    <w:pPr>
      <w:keepNext/>
      <w:keepLines/>
      <w:spacing w:before="400" w:after="40" w:line="240" w:lineRule="auto"/>
      <w:jc w:val="center"/>
      <w:outlineLvl w:val="0"/>
      <w:rPr>
        <w:rFonts w:ascii="Times New Roman" w:eastAsiaTheme="majorEastAsia" w:hAnsi="Times New Roman" w:cs="Times New Roman"/>
        <w:sz w:val="40"/>
        <w:szCs w:val="36"/>
      </w:rPr>
    </w:pPr>
    <w:r w:rsidRPr="007237E1">
      <w:rPr>
        <w:rFonts w:ascii="Times New Roman" w:eastAsiaTheme="majorEastAsia" w:hAnsi="Times New Roman" w:cs="Times New Roman"/>
        <w:sz w:val="40"/>
        <w:szCs w:val="36"/>
      </w:rPr>
      <w:t>Secondary (Tier 2) Intervent</w:t>
    </w:r>
    <w:r w:rsidR="00E507B4">
      <w:rPr>
        <w:rFonts w:ascii="Times New Roman" w:eastAsiaTheme="majorEastAsia" w:hAnsi="Times New Roman" w:cs="Times New Roman"/>
        <w:sz w:val="40"/>
        <w:szCs w:val="36"/>
      </w:rPr>
      <w:t>ion Grid: For Elementary Students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43F3B"/>
    <w:multiLevelType w:val="hybridMultilevel"/>
    <w:tmpl w:val="04E2C5DA"/>
    <w:lvl w:ilvl="0" w:tplc="20D2962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46F8D"/>
    <w:multiLevelType w:val="hybridMultilevel"/>
    <w:tmpl w:val="AC44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C7EF7"/>
    <w:multiLevelType w:val="hybridMultilevel"/>
    <w:tmpl w:val="16CCE7E4"/>
    <w:lvl w:ilvl="0" w:tplc="20D2962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65"/>
    <w:rsid w:val="00094D60"/>
    <w:rsid w:val="0011080B"/>
    <w:rsid w:val="00113E60"/>
    <w:rsid w:val="00124BCB"/>
    <w:rsid w:val="001342EF"/>
    <w:rsid w:val="001A5D0E"/>
    <w:rsid w:val="001B2D79"/>
    <w:rsid w:val="001D27D2"/>
    <w:rsid w:val="001D4FED"/>
    <w:rsid w:val="00254C34"/>
    <w:rsid w:val="0026546E"/>
    <w:rsid w:val="003213BA"/>
    <w:rsid w:val="00353E59"/>
    <w:rsid w:val="00364C98"/>
    <w:rsid w:val="00380E6E"/>
    <w:rsid w:val="003D2BC0"/>
    <w:rsid w:val="003E1C65"/>
    <w:rsid w:val="00405898"/>
    <w:rsid w:val="00422319"/>
    <w:rsid w:val="00497879"/>
    <w:rsid w:val="004C197F"/>
    <w:rsid w:val="005D4FCB"/>
    <w:rsid w:val="00600CAD"/>
    <w:rsid w:val="00617105"/>
    <w:rsid w:val="006631A3"/>
    <w:rsid w:val="006D2E0E"/>
    <w:rsid w:val="007237E1"/>
    <w:rsid w:val="00731413"/>
    <w:rsid w:val="00733C28"/>
    <w:rsid w:val="00737276"/>
    <w:rsid w:val="007719E4"/>
    <w:rsid w:val="007806AF"/>
    <w:rsid w:val="007F27D8"/>
    <w:rsid w:val="008079A1"/>
    <w:rsid w:val="009023A8"/>
    <w:rsid w:val="00965772"/>
    <w:rsid w:val="009F0A78"/>
    <w:rsid w:val="00A21458"/>
    <w:rsid w:val="00AD63AD"/>
    <w:rsid w:val="00AF5322"/>
    <w:rsid w:val="00B47A59"/>
    <w:rsid w:val="00BE6F52"/>
    <w:rsid w:val="00C649F1"/>
    <w:rsid w:val="00CB055D"/>
    <w:rsid w:val="00D22D48"/>
    <w:rsid w:val="00D37FDB"/>
    <w:rsid w:val="00D929A8"/>
    <w:rsid w:val="00D94848"/>
    <w:rsid w:val="00DB10D7"/>
    <w:rsid w:val="00E301A6"/>
    <w:rsid w:val="00E507B4"/>
    <w:rsid w:val="00E7269D"/>
    <w:rsid w:val="00E94663"/>
    <w:rsid w:val="00EE2BFD"/>
    <w:rsid w:val="00F03203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E66E78"/>
  <w15:chartTrackingRefBased/>
  <w15:docId w15:val="{BA7837CD-27F2-4604-9D11-69BECCE8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C65"/>
  </w:style>
  <w:style w:type="paragraph" w:styleId="Footer">
    <w:name w:val="footer"/>
    <w:basedOn w:val="Normal"/>
    <w:link w:val="FooterChar"/>
    <w:uiPriority w:val="99"/>
    <w:unhideWhenUsed/>
    <w:rsid w:val="003E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C65"/>
  </w:style>
  <w:style w:type="paragraph" w:styleId="ListParagraph">
    <w:name w:val="List Paragraph"/>
    <w:basedOn w:val="Normal"/>
    <w:uiPriority w:val="34"/>
    <w:qFormat/>
    <w:rsid w:val="00737276"/>
    <w:pPr>
      <w:ind w:left="720"/>
      <w:contextualSpacing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737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276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276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27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E6E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E6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Johl, Liane Elizabeth</dc:creator>
  <cp:keywords/>
  <dc:description/>
  <cp:lastModifiedBy>Cantwell, Emily Dawn</cp:lastModifiedBy>
  <cp:revision>2</cp:revision>
  <cp:lastPrinted>2015-12-22T16:45:00Z</cp:lastPrinted>
  <dcterms:created xsi:type="dcterms:W3CDTF">2016-07-29T20:39:00Z</dcterms:created>
  <dcterms:modified xsi:type="dcterms:W3CDTF">2016-07-29T20:39:00Z</dcterms:modified>
</cp:coreProperties>
</file>