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84715" w14:textId="67057369" w:rsidR="00A079A1" w:rsidRPr="00B31AAD" w:rsidRDefault="00962332" w:rsidP="00377711">
      <w:pPr>
        <w:pStyle w:val="Title"/>
        <w:rPr>
          <w:color w:val="auto"/>
          <w:sz w:val="22"/>
          <w:szCs w:val="24"/>
        </w:rPr>
      </w:pPr>
      <w:r>
        <w:rPr>
          <w:noProof/>
          <w:color w:val="auto"/>
          <w:sz w:val="22"/>
          <w:szCs w:val="24"/>
        </w:rPr>
        <w:t>201</w:t>
      </w:r>
      <w:r w:rsidR="002E40EB">
        <w:rPr>
          <w:noProof/>
          <w:color w:val="auto"/>
          <w:sz w:val="22"/>
          <w:szCs w:val="24"/>
        </w:rPr>
        <w:t>9</w:t>
      </w:r>
      <w:r>
        <w:rPr>
          <w:noProof/>
          <w:color w:val="auto"/>
          <w:sz w:val="22"/>
          <w:szCs w:val="24"/>
        </w:rPr>
        <w:t xml:space="preserve"> 20</w:t>
      </w:r>
      <w:r w:rsidR="002E40EB">
        <w:rPr>
          <w:noProof/>
          <w:color w:val="auto"/>
          <w:sz w:val="22"/>
          <w:szCs w:val="24"/>
        </w:rPr>
        <w:t>20</w:t>
      </w:r>
      <w:r w:rsidR="0092186A">
        <w:rPr>
          <w:noProof/>
          <w:color w:val="auto"/>
          <w:sz w:val="22"/>
          <w:szCs w:val="24"/>
        </w:rPr>
        <w:t xml:space="preserve"> EMPOWER PRofessional Learning series</w:t>
      </w:r>
      <w:r w:rsidR="0092186A">
        <w:rPr>
          <w:noProof/>
          <w:color w:val="auto"/>
          <w:sz w:val="22"/>
          <w:szCs w:val="24"/>
        </w:rPr>
        <w:tab/>
      </w:r>
      <w:r w:rsidR="0092186A">
        <w:rPr>
          <w:noProof/>
          <w:color w:val="auto"/>
          <w:sz w:val="22"/>
          <w:szCs w:val="24"/>
        </w:rPr>
        <w:tab/>
      </w:r>
      <w:r w:rsidR="0092186A">
        <w:rPr>
          <w:noProof/>
          <w:color w:val="auto"/>
          <w:sz w:val="22"/>
          <w:szCs w:val="24"/>
        </w:rPr>
        <w:tab/>
      </w:r>
      <w:r w:rsidR="00377711">
        <w:rPr>
          <w:sz w:val="28"/>
        </w:rPr>
        <w:t xml:space="preserve">      </w:t>
      </w:r>
      <w:r w:rsidR="00377711">
        <w:rPr>
          <w:noProof/>
          <w:color w:val="auto"/>
          <w:sz w:val="22"/>
          <w:szCs w:val="24"/>
        </w:rPr>
        <w:drawing>
          <wp:inline distT="0" distB="0" distL="0" distR="0" wp14:anchorId="745EBF1E" wp14:editId="71D6DDD4">
            <wp:extent cx="1007050" cy="396581"/>
            <wp:effectExtent l="0" t="0" r="317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3T-logo-lowercase-i_smal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913" cy="408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F2CDFE" w14:textId="77777777" w:rsidR="00133E34" w:rsidRDefault="00EF388A" w:rsidP="00133E34">
      <w:pPr>
        <w:pStyle w:val="Heading1"/>
        <w:spacing w:before="0"/>
        <w:rPr>
          <w:b/>
        </w:rPr>
      </w:pPr>
      <w:r>
        <w:rPr>
          <w:sz w:val="32"/>
        </w:rPr>
        <w:t>EMPOWER session 2</w:t>
      </w:r>
      <w:r w:rsidRPr="00753562">
        <w:rPr>
          <w:sz w:val="32"/>
        </w:rPr>
        <w:t xml:space="preserve"> Agenda</w:t>
      </w:r>
      <w:r>
        <w:tab/>
        <w:t xml:space="preserve">   </w:t>
      </w:r>
      <w:r>
        <w:tab/>
      </w:r>
      <w:r>
        <w:tab/>
      </w:r>
      <w:r w:rsidR="00133E34" w:rsidRPr="00340415">
        <w:rPr>
          <w:b/>
          <w:bCs/>
          <w:color w:val="FF0000"/>
        </w:rPr>
        <w:t xml:space="preserve">    </w:t>
      </w:r>
      <w:proofErr w:type="gramStart"/>
      <w:r w:rsidR="00133E34" w:rsidRPr="00340415">
        <w:rPr>
          <w:b/>
          <w:bCs/>
          <w:color w:val="FF0000"/>
        </w:rPr>
        <w:t xml:space="preserve">   [</w:t>
      </w:r>
      <w:proofErr w:type="gramEnd"/>
      <w:r w:rsidR="00133E34" w:rsidRPr="00340415">
        <w:rPr>
          <w:b/>
          <w:bCs/>
          <w:color w:val="FF0000"/>
        </w:rPr>
        <w:t>month</w:t>
      </w:r>
      <w:r w:rsidR="00133E34" w:rsidRPr="00575BDE">
        <w:rPr>
          <w:b/>
          <w:color w:val="FF0000"/>
        </w:rPr>
        <w:t>, day, year]</w:t>
      </w:r>
    </w:p>
    <w:p w14:paraId="28451E4F" w14:textId="3F41240B" w:rsidR="00E656D3" w:rsidRPr="00E656D3" w:rsidRDefault="00133E34" w:rsidP="00E656D3">
      <w:pPr>
        <w:pStyle w:val="Heading1"/>
        <w:spacing w:before="0"/>
      </w:pPr>
      <w:r w:rsidRPr="00514954">
        <w:rPr>
          <w:b/>
          <w:color w:val="FF0000"/>
        </w:rPr>
        <w:t xml:space="preserve">[ENTER TIME] </w:t>
      </w:r>
      <w:r w:rsidR="00EF388A">
        <w:rPr>
          <w:b/>
        </w:rPr>
        <w:t>(2 HR)</w:t>
      </w:r>
      <w:r w:rsidR="00EF388A">
        <w:rPr>
          <w:b/>
        </w:rPr>
        <w:br/>
      </w:r>
      <w:r w:rsidR="00EF388A" w:rsidRPr="00E83960">
        <w:t xml:space="preserve">Presenter: </w:t>
      </w:r>
      <w:r w:rsidRPr="00514954">
        <w:rPr>
          <w:b/>
          <w:bCs/>
          <w:color w:val="FF0000"/>
        </w:rPr>
        <w:t>tba</w:t>
      </w:r>
    </w:p>
    <w:p w14:paraId="61917FF7" w14:textId="49F43C71" w:rsidR="00753562" w:rsidRPr="002E40EB" w:rsidRDefault="001E11C7" w:rsidP="00753562">
      <w:pPr>
        <w:pStyle w:val="Heading2"/>
        <w:rPr>
          <w:sz w:val="28"/>
          <w:szCs w:val="28"/>
        </w:rPr>
      </w:pPr>
      <w:r>
        <w:rPr>
          <w:b/>
          <w:sz w:val="32"/>
        </w:rPr>
        <w:t>Session 2</w:t>
      </w:r>
      <w:r w:rsidR="00753562" w:rsidRPr="00753562">
        <w:rPr>
          <w:b/>
          <w:sz w:val="32"/>
        </w:rPr>
        <w:t>:</w:t>
      </w:r>
      <w:r w:rsidR="00753562">
        <w:rPr>
          <w:sz w:val="32"/>
        </w:rPr>
        <w:t xml:space="preserve"> </w:t>
      </w:r>
      <w:r w:rsidR="002E40EB" w:rsidRPr="002E40EB">
        <w:rPr>
          <w:rFonts w:asciiTheme="majorHAnsi" w:hAnsiTheme="majorHAnsi" w:cs="Arial"/>
          <w:color w:val="000000"/>
          <w:sz w:val="28"/>
          <w:szCs w:val="28"/>
        </w:rPr>
        <w:t>Empowering Educators with Low-intensity Strategies to Increase Engagement and Minimize Disruption</w:t>
      </w:r>
    </w:p>
    <w:p w14:paraId="25E70152" w14:textId="77777777" w:rsidR="00753562" w:rsidRPr="00EF388A" w:rsidRDefault="00753562" w:rsidP="006E3030">
      <w:pPr>
        <w:pStyle w:val="Heading3"/>
        <w:rPr>
          <w:rFonts w:eastAsia="Times New Roman"/>
          <w:sz w:val="24"/>
          <w:szCs w:val="24"/>
        </w:rPr>
      </w:pPr>
      <w:r w:rsidRPr="00EF388A">
        <w:rPr>
          <w:rFonts w:eastAsia="Times New Roman"/>
          <w:sz w:val="24"/>
          <w:szCs w:val="24"/>
        </w:rPr>
        <w:t>Welcome!</w:t>
      </w:r>
    </w:p>
    <w:p w14:paraId="4F10F9D0" w14:textId="5A9CFDBE" w:rsidR="00FD2B68" w:rsidRPr="00030430" w:rsidRDefault="00387253" w:rsidP="00FD2B68">
      <w:pPr>
        <w:numPr>
          <w:ilvl w:val="0"/>
          <w:numId w:val="4"/>
        </w:numPr>
        <w:spacing w:after="0" w:line="216" w:lineRule="auto"/>
        <w:ind w:left="1080"/>
        <w:contextualSpacing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hAnsi="Calibri"/>
          <w:bCs/>
          <w:kern w:val="24"/>
          <w:sz w:val="24"/>
          <w:szCs w:val="24"/>
        </w:rPr>
        <w:t>Welcome</w:t>
      </w:r>
    </w:p>
    <w:p w14:paraId="2EC8F2BF" w14:textId="13E75BC9" w:rsidR="00030430" w:rsidRPr="00030430" w:rsidRDefault="00030430" w:rsidP="00030430">
      <w:pPr>
        <w:numPr>
          <w:ilvl w:val="0"/>
          <w:numId w:val="4"/>
        </w:numPr>
        <w:spacing w:after="0" w:line="216" w:lineRule="auto"/>
        <w:ind w:left="1080"/>
        <w:contextualSpacing/>
        <w:textAlignment w:val="baseline"/>
        <w:rPr>
          <w:rFonts w:hAnsi="Calibri"/>
          <w:bCs/>
          <w:kern w:val="24"/>
          <w:sz w:val="24"/>
          <w:szCs w:val="24"/>
        </w:rPr>
      </w:pPr>
      <w:r w:rsidRPr="00030430">
        <w:rPr>
          <w:rFonts w:hAnsi="Calibri"/>
          <w:bCs/>
          <w:kern w:val="24"/>
          <w:sz w:val="24"/>
          <w:szCs w:val="24"/>
        </w:rPr>
        <w:t>Preparing to Collect Social Validity &amp; Treatment Integrity Data</w:t>
      </w:r>
    </w:p>
    <w:p w14:paraId="6C095B8B" w14:textId="00EA8C1B" w:rsidR="00030430" w:rsidRDefault="00030430" w:rsidP="00030430">
      <w:pPr>
        <w:numPr>
          <w:ilvl w:val="0"/>
          <w:numId w:val="4"/>
        </w:numPr>
        <w:spacing w:after="0" w:line="216" w:lineRule="auto"/>
        <w:ind w:left="1080"/>
        <w:contextualSpacing/>
        <w:textAlignment w:val="baseline"/>
        <w:rPr>
          <w:rFonts w:hAnsi="Calibri"/>
          <w:bCs/>
          <w:kern w:val="24"/>
          <w:sz w:val="24"/>
          <w:szCs w:val="24"/>
        </w:rPr>
      </w:pPr>
      <w:r w:rsidRPr="00030430">
        <w:rPr>
          <w:rFonts w:hAnsi="Calibri"/>
          <w:bCs/>
          <w:kern w:val="24"/>
          <w:sz w:val="24"/>
          <w:szCs w:val="24"/>
        </w:rPr>
        <w:t>Using Screening Data to Inform Instruction</w:t>
      </w:r>
    </w:p>
    <w:p w14:paraId="27D2A807" w14:textId="4D7DC2F6" w:rsidR="00D30F89" w:rsidRPr="00D30F89" w:rsidRDefault="00D30F89" w:rsidP="00D30F89">
      <w:pPr>
        <w:numPr>
          <w:ilvl w:val="0"/>
          <w:numId w:val="4"/>
        </w:numPr>
        <w:spacing w:after="0" w:line="216" w:lineRule="auto"/>
        <w:ind w:left="1080"/>
        <w:contextualSpacing/>
        <w:textAlignment w:val="baseline"/>
        <w:rPr>
          <w:rFonts w:hAnsi="Calibri"/>
          <w:bCs/>
          <w:kern w:val="24"/>
          <w:sz w:val="24"/>
          <w:szCs w:val="24"/>
        </w:rPr>
      </w:pPr>
      <w:r w:rsidRPr="00D30F89">
        <w:rPr>
          <w:rFonts w:hAnsi="Calibri"/>
          <w:bCs/>
          <w:kern w:val="24"/>
          <w:sz w:val="24"/>
          <w:szCs w:val="24"/>
        </w:rPr>
        <w:t xml:space="preserve">Low-Intensity Strategies: Building capacity through professional learning </w:t>
      </w:r>
    </w:p>
    <w:p w14:paraId="3DCD6642" w14:textId="2F6CCE73" w:rsidR="00FD2B68" w:rsidRPr="00FF1C34" w:rsidRDefault="00FD2B68" w:rsidP="00FD2B68">
      <w:pPr>
        <w:numPr>
          <w:ilvl w:val="0"/>
          <w:numId w:val="5"/>
        </w:numPr>
        <w:spacing w:after="0" w:line="216" w:lineRule="auto"/>
        <w:ind w:left="1080"/>
        <w:contextualSpacing/>
        <w:textAlignment w:val="baseline"/>
        <w:rPr>
          <w:rFonts w:cstheme="minorHAnsi"/>
          <w:bCs/>
          <w:kern w:val="24"/>
          <w:sz w:val="24"/>
          <w:szCs w:val="24"/>
        </w:rPr>
      </w:pPr>
      <w:r w:rsidRPr="00FF1C34">
        <w:rPr>
          <w:rFonts w:cstheme="minorHAnsi"/>
          <w:bCs/>
          <w:kern w:val="24"/>
          <w:sz w:val="24"/>
          <w:szCs w:val="24"/>
        </w:rPr>
        <w:t>Wrap</w:t>
      </w:r>
      <w:r w:rsidR="00CA1034">
        <w:rPr>
          <w:rFonts w:cstheme="minorHAnsi"/>
          <w:bCs/>
          <w:kern w:val="24"/>
          <w:sz w:val="24"/>
          <w:szCs w:val="24"/>
        </w:rPr>
        <w:t>ping</w:t>
      </w:r>
      <w:r w:rsidR="00387253">
        <w:rPr>
          <w:rFonts w:cstheme="minorHAnsi"/>
          <w:bCs/>
          <w:kern w:val="24"/>
          <w:sz w:val="24"/>
          <w:szCs w:val="24"/>
        </w:rPr>
        <w:t xml:space="preserve"> up and N</w:t>
      </w:r>
      <w:r w:rsidRPr="00FF1C34">
        <w:rPr>
          <w:rFonts w:cstheme="minorHAnsi"/>
          <w:bCs/>
          <w:kern w:val="24"/>
          <w:sz w:val="24"/>
          <w:szCs w:val="24"/>
        </w:rPr>
        <w:t>ex</w:t>
      </w:r>
      <w:r w:rsidR="00387253">
        <w:rPr>
          <w:rFonts w:cstheme="minorHAnsi"/>
          <w:bCs/>
          <w:kern w:val="24"/>
          <w:sz w:val="24"/>
          <w:szCs w:val="24"/>
        </w:rPr>
        <w:t>t S</w:t>
      </w:r>
      <w:r w:rsidRPr="00FF1C34">
        <w:rPr>
          <w:rFonts w:cstheme="minorHAnsi"/>
          <w:bCs/>
          <w:kern w:val="24"/>
          <w:sz w:val="24"/>
          <w:szCs w:val="24"/>
        </w:rPr>
        <w:t>teps</w:t>
      </w:r>
    </w:p>
    <w:p w14:paraId="0C69B3DF" w14:textId="6CD79F66" w:rsidR="002E40EB" w:rsidRPr="00EF388A" w:rsidRDefault="002E40EB" w:rsidP="002E40EB">
      <w:pPr>
        <w:pStyle w:val="Heading3"/>
        <w:rPr>
          <w:rFonts w:eastAsia="Times New Roman"/>
          <w:sz w:val="24"/>
          <w:szCs w:val="24"/>
        </w:rPr>
      </w:pPr>
      <w:bookmarkStart w:id="0" w:name="_Hlk17793582"/>
      <w:r w:rsidRPr="00EF388A">
        <w:rPr>
          <w:rFonts w:eastAsia="Times New Roman"/>
          <w:sz w:val="24"/>
          <w:szCs w:val="24"/>
        </w:rPr>
        <w:t>session description</w:t>
      </w:r>
    </w:p>
    <w:p w14:paraId="270B0E6F" w14:textId="4B43710E" w:rsidR="00EF388A" w:rsidRPr="00FF1C34" w:rsidRDefault="00A1615B" w:rsidP="00E656D3">
      <w:pPr>
        <w:adjustRightInd w:val="0"/>
        <w:spacing w:line="240" w:lineRule="auto"/>
        <w:contextualSpacing/>
        <w:rPr>
          <w:rFonts w:asciiTheme="majorHAnsi" w:hAnsiTheme="majorHAnsi" w:cstheme="majorHAnsi"/>
          <w:kern w:val="24"/>
          <w:sz w:val="24"/>
          <w:szCs w:val="24"/>
        </w:rPr>
      </w:pPr>
      <w:r w:rsidRPr="00FF1C34">
        <w:rPr>
          <w:rFonts w:asciiTheme="majorHAnsi" w:eastAsiaTheme="minorHAnsi" w:hAnsiTheme="majorHAnsi" w:cstheme="majorHAnsi"/>
          <w:sz w:val="24"/>
          <w:szCs w:val="24"/>
        </w:rPr>
        <w:t>This session serves as a guide for faculty and staff as they</w:t>
      </w:r>
      <w:r w:rsidR="00E656D3">
        <w:rPr>
          <w:rFonts w:asciiTheme="majorHAnsi" w:eastAsiaTheme="minorHAnsi" w:hAnsiTheme="majorHAnsi" w:cstheme="majorHAnsi"/>
          <w:sz w:val="24"/>
          <w:szCs w:val="24"/>
        </w:rPr>
        <w:t xml:space="preserve"> (a) prepare to collect social validity &amp; treatment integrity data, (b) use screening data to inform instruction, and (c)</w:t>
      </w:r>
      <w:r w:rsidRPr="00FF1C34">
        <w:rPr>
          <w:rFonts w:asciiTheme="majorHAnsi" w:eastAsiaTheme="minorHAnsi" w:hAnsiTheme="majorHAnsi" w:cstheme="majorHAnsi"/>
          <w:sz w:val="24"/>
          <w:szCs w:val="24"/>
        </w:rPr>
        <w:t xml:space="preserve"> </w:t>
      </w:r>
      <w:r w:rsidR="00FF1C34" w:rsidRPr="00FF1C34">
        <w:rPr>
          <w:rFonts w:asciiTheme="majorHAnsi" w:eastAsiaTheme="minorHAnsi" w:hAnsiTheme="majorHAnsi" w:cstheme="majorHAnsi"/>
          <w:sz w:val="24"/>
          <w:szCs w:val="24"/>
        </w:rPr>
        <w:t>implement low-intensity strategies as proactive measures</w:t>
      </w:r>
      <w:r w:rsidRPr="00FF1C34">
        <w:rPr>
          <w:rFonts w:asciiTheme="majorHAnsi" w:hAnsiTheme="majorHAnsi" w:cstheme="majorHAnsi"/>
          <w:kern w:val="24"/>
          <w:sz w:val="24"/>
          <w:szCs w:val="24"/>
        </w:rPr>
        <w:t xml:space="preserve"> within the Ci3T framework.  Attendees will receive support on how to implement </w:t>
      </w:r>
      <w:r w:rsidR="006E77DF">
        <w:rPr>
          <w:rFonts w:asciiTheme="majorHAnsi" w:hAnsiTheme="majorHAnsi" w:cstheme="majorHAnsi"/>
          <w:kern w:val="24"/>
          <w:sz w:val="24"/>
          <w:szCs w:val="24"/>
        </w:rPr>
        <w:t xml:space="preserve">low-intensity strategies such as </w:t>
      </w:r>
      <w:r w:rsidR="00FF1C34" w:rsidRPr="00FF1C34">
        <w:rPr>
          <w:rFonts w:asciiTheme="majorHAnsi" w:hAnsiTheme="majorHAnsi" w:cstheme="majorHAnsi"/>
          <w:kern w:val="24"/>
          <w:sz w:val="24"/>
          <w:szCs w:val="24"/>
        </w:rPr>
        <w:t xml:space="preserve">instructional choice, </w:t>
      </w:r>
      <w:r w:rsidR="006E77DF">
        <w:rPr>
          <w:rFonts w:asciiTheme="majorHAnsi" w:hAnsiTheme="majorHAnsi" w:cstheme="majorHAnsi"/>
          <w:kern w:val="24"/>
          <w:sz w:val="24"/>
          <w:szCs w:val="24"/>
        </w:rPr>
        <w:t xml:space="preserve">increasing opportunities to respond, </w:t>
      </w:r>
      <w:r w:rsidR="00FF1C34" w:rsidRPr="00FF1C34">
        <w:rPr>
          <w:rFonts w:asciiTheme="majorHAnsi" w:hAnsiTheme="majorHAnsi" w:cstheme="majorHAnsi"/>
          <w:kern w:val="24"/>
          <w:sz w:val="24"/>
          <w:szCs w:val="24"/>
        </w:rPr>
        <w:t>precorrection and active supervision.</w:t>
      </w:r>
      <w:r w:rsidRPr="00FF1C34">
        <w:rPr>
          <w:rFonts w:asciiTheme="majorHAnsi" w:hAnsiTheme="majorHAnsi" w:cstheme="majorHAnsi"/>
          <w:kern w:val="24"/>
          <w:sz w:val="24"/>
          <w:szCs w:val="24"/>
        </w:rPr>
        <w:t xml:space="preserve"> Finally, attendees will learn </w:t>
      </w:r>
      <w:r w:rsidR="00FF1C34" w:rsidRPr="00FF1C34">
        <w:rPr>
          <w:rFonts w:asciiTheme="majorHAnsi" w:hAnsiTheme="majorHAnsi" w:cstheme="majorHAnsi"/>
          <w:kern w:val="24"/>
          <w:sz w:val="24"/>
          <w:szCs w:val="24"/>
        </w:rPr>
        <w:t>access and navigate resources on the Ci3T website to support building capacity on low-intensity strategies.</w:t>
      </w:r>
      <w:r w:rsidR="00FF1C34">
        <w:rPr>
          <w:rFonts w:asciiTheme="majorHAnsi" w:hAnsiTheme="majorHAnsi" w:cstheme="majorHAnsi"/>
          <w:kern w:val="24"/>
          <w:sz w:val="24"/>
          <w:szCs w:val="24"/>
        </w:rPr>
        <w:t xml:space="preserve"> </w:t>
      </w:r>
    </w:p>
    <w:p w14:paraId="5F0461B3" w14:textId="6499A167" w:rsidR="00EF388A" w:rsidRDefault="002E40EB" w:rsidP="00EF388A">
      <w:pPr>
        <w:pStyle w:val="Heading3"/>
        <w:rPr>
          <w:rFonts w:eastAsia="Times New Roman"/>
          <w:sz w:val="24"/>
          <w:szCs w:val="24"/>
        </w:rPr>
      </w:pPr>
      <w:r w:rsidRPr="00EF388A">
        <w:rPr>
          <w:rFonts w:eastAsia="Times New Roman"/>
          <w:sz w:val="24"/>
          <w:szCs w:val="24"/>
        </w:rPr>
        <w:t xml:space="preserve">Learning Objectives </w:t>
      </w:r>
      <w:bookmarkEnd w:id="0"/>
    </w:p>
    <w:p w14:paraId="596C52F3" w14:textId="5121E1B5" w:rsidR="006E77DF" w:rsidRDefault="006E77DF" w:rsidP="00A1615B">
      <w:pPr>
        <w:numPr>
          <w:ilvl w:val="0"/>
          <w:numId w:val="6"/>
        </w:numPr>
        <w:spacing w:after="0" w:line="216" w:lineRule="auto"/>
        <w:contextualSpacing/>
        <w:textAlignment w:val="baseline"/>
        <w:rPr>
          <w:rFonts w:asciiTheme="majorHAnsi" w:hAnsiTheme="majorHAnsi" w:cstheme="majorHAnsi"/>
          <w:kern w:val="24"/>
          <w:sz w:val="24"/>
          <w:szCs w:val="24"/>
        </w:rPr>
      </w:pPr>
      <w:r>
        <w:rPr>
          <w:rFonts w:asciiTheme="majorHAnsi" w:hAnsiTheme="majorHAnsi" w:cstheme="majorHAnsi"/>
          <w:kern w:val="24"/>
          <w:sz w:val="24"/>
          <w:szCs w:val="24"/>
        </w:rPr>
        <w:t>Identify the rational</w:t>
      </w:r>
      <w:r w:rsidR="00387253">
        <w:rPr>
          <w:rFonts w:asciiTheme="majorHAnsi" w:hAnsiTheme="majorHAnsi" w:cstheme="majorHAnsi"/>
          <w:kern w:val="24"/>
          <w:sz w:val="24"/>
          <w:szCs w:val="24"/>
        </w:rPr>
        <w:t>e</w:t>
      </w:r>
      <w:r>
        <w:rPr>
          <w:rFonts w:asciiTheme="majorHAnsi" w:hAnsiTheme="majorHAnsi" w:cstheme="majorHAnsi"/>
          <w:kern w:val="24"/>
          <w:sz w:val="24"/>
          <w:szCs w:val="24"/>
        </w:rPr>
        <w:t xml:space="preserve"> for collecting treatment integrity and social validity data.</w:t>
      </w:r>
    </w:p>
    <w:p w14:paraId="649B4091" w14:textId="1BDCB9D1" w:rsidR="006E77DF" w:rsidRDefault="006E77DF" w:rsidP="00A1615B">
      <w:pPr>
        <w:numPr>
          <w:ilvl w:val="0"/>
          <w:numId w:val="6"/>
        </w:numPr>
        <w:spacing w:after="0" w:line="216" w:lineRule="auto"/>
        <w:contextualSpacing/>
        <w:textAlignment w:val="baseline"/>
        <w:rPr>
          <w:rFonts w:asciiTheme="majorHAnsi" w:hAnsiTheme="majorHAnsi" w:cstheme="majorHAnsi"/>
          <w:kern w:val="24"/>
          <w:sz w:val="24"/>
          <w:szCs w:val="24"/>
        </w:rPr>
      </w:pPr>
      <w:r>
        <w:rPr>
          <w:rFonts w:asciiTheme="majorHAnsi" w:hAnsiTheme="majorHAnsi" w:cstheme="majorHAnsi"/>
          <w:kern w:val="24"/>
          <w:sz w:val="24"/>
          <w:szCs w:val="24"/>
        </w:rPr>
        <w:t>Identify methods for assessing and interpreting treatment integrity and social validity data at Tier 1.</w:t>
      </w:r>
    </w:p>
    <w:p w14:paraId="7DD15153" w14:textId="7821F967" w:rsidR="00387253" w:rsidRDefault="00387253" w:rsidP="00A1615B">
      <w:pPr>
        <w:numPr>
          <w:ilvl w:val="0"/>
          <w:numId w:val="6"/>
        </w:numPr>
        <w:spacing w:after="0" w:line="216" w:lineRule="auto"/>
        <w:contextualSpacing/>
        <w:textAlignment w:val="baseline"/>
        <w:rPr>
          <w:rFonts w:asciiTheme="majorHAnsi" w:hAnsiTheme="majorHAnsi" w:cstheme="majorHAnsi"/>
          <w:kern w:val="24"/>
          <w:sz w:val="24"/>
          <w:szCs w:val="24"/>
        </w:rPr>
      </w:pPr>
      <w:r>
        <w:rPr>
          <w:rFonts w:asciiTheme="majorHAnsi" w:hAnsiTheme="majorHAnsi" w:cstheme="majorHAnsi"/>
          <w:kern w:val="24"/>
          <w:sz w:val="24"/>
          <w:szCs w:val="24"/>
        </w:rPr>
        <w:t>Analyze screening data to inform practices at Tier 1.</w:t>
      </w:r>
    </w:p>
    <w:p w14:paraId="606E2F7F" w14:textId="7555034B" w:rsidR="00FF1C34" w:rsidRPr="00FF1C34" w:rsidRDefault="00A1615B" w:rsidP="00A1615B">
      <w:pPr>
        <w:numPr>
          <w:ilvl w:val="0"/>
          <w:numId w:val="6"/>
        </w:numPr>
        <w:spacing w:after="0" w:line="216" w:lineRule="auto"/>
        <w:contextualSpacing/>
        <w:textAlignment w:val="baseline"/>
        <w:rPr>
          <w:rFonts w:asciiTheme="majorHAnsi" w:hAnsiTheme="majorHAnsi" w:cstheme="majorHAnsi"/>
          <w:kern w:val="24"/>
          <w:sz w:val="24"/>
          <w:szCs w:val="24"/>
        </w:rPr>
      </w:pPr>
      <w:r w:rsidRPr="00FF1C34">
        <w:rPr>
          <w:rFonts w:asciiTheme="majorHAnsi" w:hAnsiTheme="majorHAnsi" w:cstheme="majorHAnsi"/>
          <w:kern w:val="24"/>
          <w:sz w:val="24"/>
          <w:szCs w:val="24"/>
        </w:rPr>
        <w:t xml:space="preserve">Identify </w:t>
      </w:r>
      <w:r w:rsidR="00FF1C34" w:rsidRPr="00FF1C34">
        <w:rPr>
          <w:rFonts w:asciiTheme="majorHAnsi" w:hAnsiTheme="majorHAnsi" w:cstheme="majorHAnsi"/>
          <w:kern w:val="24"/>
          <w:sz w:val="24"/>
          <w:szCs w:val="24"/>
        </w:rPr>
        <w:t xml:space="preserve">instructional choice, precorrection, and active supervision as low-intensity strategies to facilitate student engagement and minimize disruption. </w:t>
      </w:r>
    </w:p>
    <w:p w14:paraId="10B3B383" w14:textId="01A8C284" w:rsidR="00A1615B" w:rsidRPr="00FF1C34" w:rsidRDefault="00FF1C34" w:rsidP="00A1615B">
      <w:pPr>
        <w:numPr>
          <w:ilvl w:val="0"/>
          <w:numId w:val="6"/>
        </w:numPr>
        <w:spacing w:after="0" w:line="216" w:lineRule="auto"/>
        <w:contextualSpacing/>
        <w:textAlignment w:val="baseline"/>
        <w:rPr>
          <w:rFonts w:asciiTheme="majorHAnsi" w:hAnsiTheme="majorHAnsi" w:cstheme="majorHAnsi"/>
          <w:kern w:val="24"/>
          <w:sz w:val="24"/>
          <w:szCs w:val="24"/>
        </w:rPr>
      </w:pPr>
      <w:r w:rsidRPr="00FF1C34">
        <w:rPr>
          <w:rFonts w:asciiTheme="majorHAnsi" w:hAnsiTheme="majorHAnsi" w:cstheme="majorHAnsi"/>
          <w:kern w:val="24"/>
          <w:sz w:val="24"/>
          <w:szCs w:val="24"/>
        </w:rPr>
        <w:t xml:space="preserve">Identify the research, benefits and challenges implementing low-intensity strategies. </w:t>
      </w:r>
      <w:r w:rsidR="00A1615B" w:rsidRPr="00FF1C34">
        <w:rPr>
          <w:rFonts w:asciiTheme="majorHAnsi" w:hAnsiTheme="majorHAnsi" w:cstheme="majorHAnsi"/>
          <w:kern w:val="24"/>
          <w:sz w:val="24"/>
          <w:szCs w:val="24"/>
        </w:rPr>
        <w:t xml:space="preserve">learner behavior, and monitoring to ensure the plan is being implemented with fidelity. </w:t>
      </w:r>
    </w:p>
    <w:p w14:paraId="74D1CF8C" w14:textId="5F8B930A" w:rsidR="00A1615B" w:rsidRDefault="00FF1C34" w:rsidP="00A1615B">
      <w:pPr>
        <w:numPr>
          <w:ilvl w:val="0"/>
          <w:numId w:val="6"/>
        </w:numPr>
        <w:spacing w:after="0" w:line="216" w:lineRule="auto"/>
        <w:contextualSpacing/>
        <w:textAlignment w:val="baseline"/>
        <w:rPr>
          <w:rFonts w:asciiTheme="majorHAnsi" w:hAnsiTheme="majorHAnsi" w:cstheme="majorHAnsi"/>
          <w:kern w:val="24"/>
          <w:sz w:val="24"/>
          <w:szCs w:val="24"/>
        </w:rPr>
      </w:pPr>
      <w:r w:rsidRPr="00FF1C34">
        <w:rPr>
          <w:rFonts w:asciiTheme="majorHAnsi" w:hAnsiTheme="majorHAnsi" w:cstheme="majorHAnsi"/>
          <w:kern w:val="24"/>
          <w:sz w:val="24"/>
          <w:szCs w:val="24"/>
        </w:rPr>
        <w:t>Identify resources to support attendees’ implementation of low-intensity strategies, and to share with others as a way to build capacity within the</w:t>
      </w:r>
      <w:r>
        <w:rPr>
          <w:rFonts w:asciiTheme="majorHAnsi" w:hAnsiTheme="majorHAnsi" w:cstheme="majorHAnsi"/>
          <w:kern w:val="24"/>
          <w:sz w:val="24"/>
          <w:szCs w:val="24"/>
        </w:rPr>
        <w:t xml:space="preserve"> Ci3T framework</w:t>
      </w:r>
      <w:r w:rsidRPr="00FF1C34">
        <w:rPr>
          <w:rFonts w:asciiTheme="majorHAnsi" w:hAnsiTheme="majorHAnsi" w:cstheme="majorHAnsi"/>
          <w:kern w:val="24"/>
          <w:sz w:val="24"/>
          <w:szCs w:val="24"/>
        </w:rPr>
        <w:t xml:space="preserve">. </w:t>
      </w:r>
    </w:p>
    <w:p w14:paraId="0894DADA" w14:textId="519C861B" w:rsidR="006E77DF" w:rsidRDefault="006E77DF" w:rsidP="006E77DF">
      <w:pPr>
        <w:spacing w:after="0" w:line="216" w:lineRule="auto"/>
        <w:ind w:left="720"/>
        <w:contextualSpacing/>
        <w:textAlignment w:val="baseline"/>
        <w:rPr>
          <w:rFonts w:asciiTheme="majorHAnsi" w:hAnsiTheme="majorHAnsi" w:cstheme="majorHAnsi"/>
          <w:kern w:val="24"/>
          <w:sz w:val="24"/>
          <w:szCs w:val="24"/>
        </w:rPr>
      </w:pPr>
    </w:p>
    <w:p w14:paraId="7CD19A63" w14:textId="101CCD57" w:rsidR="006E77DF" w:rsidRDefault="006E77DF" w:rsidP="006E77DF">
      <w:pPr>
        <w:spacing w:after="0" w:line="216" w:lineRule="auto"/>
        <w:ind w:left="720"/>
        <w:contextualSpacing/>
        <w:textAlignment w:val="baseline"/>
        <w:rPr>
          <w:rFonts w:asciiTheme="majorHAnsi" w:hAnsiTheme="majorHAnsi" w:cstheme="majorHAnsi"/>
          <w:kern w:val="24"/>
          <w:sz w:val="24"/>
          <w:szCs w:val="24"/>
        </w:rPr>
      </w:pPr>
    </w:p>
    <w:p w14:paraId="3BFE425F" w14:textId="7C38ED30" w:rsidR="00387253" w:rsidRDefault="00387253">
      <w:pPr>
        <w:rPr>
          <w:rFonts w:asciiTheme="majorHAnsi" w:hAnsiTheme="majorHAnsi" w:cstheme="majorHAnsi"/>
          <w:kern w:val="24"/>
          <w:sz w:val="24"/>
          <w:szCs w:val="24"/>
        </w:rPr>
      </w:pPr>
      <w:r>
        <w:rPr>
          <w:rFonts w:asciiTheme="majorHAnsi" w:hAnsiTheme="majorHAnsi" w:cstheme="majorHAnsi"/>
          <w:kern w:val="24"/>
          <w:sz w:val="24"/>
          <w:szCs w:val="24"/>
        </w:rPr>
        <w:br w:type="page"/>
      </w:r>
    </w:p>
    <w:p w14:paraId="7F13B1A6" w14:textId="71CF4BC2" w:rsidR="006E3030" w:rsidRPr="00EF388A" w:rsidRDefault="006E3030" w:rsidP="00A93303">
      <w:pPr>
        <w:pStyle w:val="Heading3"/>
        <w:spacing w:after="240"/>
        <w:rPr>
          <w:rFonts w:eastAsia="Times New Roman"/>
          <w:sz w:val="24"/>
          <w:szCs w:val="24"/>
        </w:rPr>
      </w:pPr>
      <w:r w:rsidRPr="00EF388A">
        <w:rPr>
          <w:rFonts w:eastAsia="Times New Roman"/>
          <w:sz w:val="24"/>
          <w:szCs w:val="24"/>
        </w:rPr>
        <w:lastRenderedPageBreak/>
        <w:t xml:space="preserve">Future Professional </w:t>
      </w:r>
      <w:r w:rsidR="00767277" w:rsidRPr="00EF388A">
        <w:rPr>
          <w:rFonts w:eastAsia="Times New Roman"/>
          <w:sz w:val="24"/>
          <w:szCs w:val="24"/>
        </w:rPr>
        <w:t>learning Opportun</w:t>
      </w:r>
      <w:r w:rsidR="007B6F3D" w:rsidRPr="00EF388A">
        <w:rPr>
          <w:rFonts w:eastAsia="Times New Roman"/>
          <w:sz w:val="24"/>
          <w:szCs w:val="24"/>
        </w:rPr>
        <w:t>i</w:t>
      </w:r>
      <w:r w:rsidR="00767277" w:rsidRPr="00EF388A">
        <w:rPr>
          <w:rFonts w:eastAsia="Times New Roman"/>
          <w:sz w:val="24"/>
          <w:szCs w:val="24"/>
        </w:rPr>
        <w:t>ties:</w:t>
      </w:r>
    </w:p>
    <w:tbl>
      <w:tblPr>
        <w:tblStyle w:val="ListTable7Colorful-Accent1"/>
        <w:tblW w:w="963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1530"/>
        <w:gridCol w:w="1710"/>
        <w:gridCol w:w="1890"/>
        <w:gridCol w:w="4500"/>
      </w:tblGrid>
      <w:tr w:rsidR="006E3030" w:rsidRPr="00F359AB" w14:paraId="64DDB3DC" w14:textId="77777777" w:rsidTr="00F359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30" w:type="dxa"/>
            <w:noWrap/>
            <w:hideMark/>
          </w:tcPr>
          <w:p w14:paraId="319338E6" w14:textId="77777777" w:rsidR="006E3030" w:rsidRPr="00F359AB" w:rsidRDefault="006E3030" w:rsidP="006E3030">
            <w:pPr>
              <w:spacing w:beforeAutospacing="1" w:after="100" w:afterAutospacing="1"/>
              <w:jc w:val="center"/>
              <w:rPr>
                <w:rFonts w:cs="Arial"/>
                <w:b/>
                <w:i w:val="0"/>
                <w:sz w:val="24"/>
                <w:szCs w:val="22"/>
              </w:rPr>
            </w:pPr>
            <w:r w:rsidRPr="00F359AB">
              <w:rPr>
                <w:rFonts w:cs="Arial"/>
                <w:b/>
                <w:i w:val="0"/>
                <w:color w:val="000000"/>
                <w:sz w:val="24"/>
                <w:szCs w:val="22"/>
              </w:rPr>
              <w:t>Date</w:t>
            </w:r>
          </w:p>
        </w:tc>
        <w:tc>
          <w:tcPr>
            <w:tcW w:w="1710" w:type="dxa"/>
            <w:noWrap/>
            <w:hideMark/>
          </w:tcPr>
          <w:p w14:paraId="77FA9250" w14:textId="77777777" w:rsidR="006E3030" w:rsidRPr="00F359AB" w:rsidRDefault="006E3030" w:rsidP="006E3030">
            <w:pPr>
              <w:spacing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i w:val="0"/>
                <w:sz w:val="24"/>
                <w:szCs w:val="22"/>
              </w:rPr>
            </w:pPr>
            <w:r w:rsidRPr="00F359AB">
              <w:rPr>
                <w:rFonts w:cs="Arial"/>
                <w:b/>
                <w:i w:val="0"/>
                <w:color w:val="000000"/>
                <w:sz w:val="24"/>
                <w:szCs w:val="22"/>
              </w:rPr>
              <w:t>Time</w:t>
            </w:r>
          </w:p>
        </w:tc>
        <w:tc>
          <w:tcPr>
            <w:tcW w:w="1890" w:type="dxa"/>
            <w:noWrap/>
            <w:hideMark/>
          </w:tcPr>
          <w:p w14:paraId="62CC0132" w14:textId="77777777" w:rsidR="006E3030" w:rsidRPr="00F359AB" w:rsidRDefault="006E3030" w:rsidP="006E3030">
            <w:pPr>
              <w:spacing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i w:val="0"/>
                <w:sz w:val="24"/>
                <w:szCs w:val="22"/>
              </w:rPr>
            </w:pPr>
            <w:r w:rsidRPr="00F359AB">
              <w:rPr>
                <w:rFonts w:cs="Arial"/>
                <w:b/>
                <w:i w:val="0"/>
                <w:color w:val="000000"/>
                <w:sz w:val="24"/>
                <w:szCs w:val="22"/>
              </w:rPr>
              <w:t>Location</w:t>
            </w:r>
          </w:p>
        </w:tc>
        <w:tc>
          <w:tcPr>
            <w:tcW w:w="4500" w:type="dxa"/>
            <w:hideMark/>
          </w:tcPr>
          <w:p w14:paraId="4756B800" w14:textId="77777777" w:rsidR="006E3030" w:rsidRPr="00F359AB" w:rsidRDefault="006E3030" w:rsidP="006E3030">
            <w:pPr>
              <w:spacing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i w:val="0"/>
                <w:sz w:val="24"/>
                <w:szCs w:val="22"/>
              </w:rPr>
            </w:pPr>
            <w:r w:rsidRPr="00F359AB">
              <w:rPr>
                <w:rFonts w:cs="Arial"/>
                <w:b/>
                <w:i w:val="0"/>
                <w:color w:val="000000"/>
                <w:sz w:val="24"/>
                <w:szCs w:val="22"/>
              </w:rPr>
              <w:t>Topic</w:t>
            </w:r>
          </w:p>
        </w:tc>
      </w:tr>
      <w:tr w:rsidR="00133E34" w:rsidRPr="00F359AB" w14:paraId="0954FA79" w14:textId="77777777" w:rsidTr="00F35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hideMark/>
          </w:tcPr>
          <w:p w14:paraId="59DB716A" w14:textId="7DDF41BB" w:rsidR="00133E34" w:rsidRPr="00962332" w:rsidRDefault="00133E34" w:rsidP="00133E34">
            <w:pPr>
              <w:spacing w:beforeAutospacing="1" w:after="100" w:afterAutospacing="1"/>
              <w:rPr>
                <w:rFonts w:cs="Arial"/>
                <w:i w:val="0"/>
                <w:sz w:val="22"/>
                <w:szCs w:val="22"/>
              </w:rPr>
            </w:pPr>
            <w:r w:rsidRPr="00962332">
              <w:rPr>
                <w:rFonts w:cs="Arial"/>
                <w:i w:val="0"/>
                <w:color w:val="000000"/>
                <w:sz w:val="22"/>
                <w:szCs w:val="22"/>
              </w:rPr>
              <w:t>Jan. 2</w:t>
            </w:r>
            <w:r>
              <w:rPr>
                <w:rFonts w:cs="Arial"/>
                <w:i w:val="0"/>
                <w:color w:val="000000"/>
                <w:sz w:val="22"/>
                <w:szCs w:val="22"/>
              </w:rPr>
              <w:t>3</w:t>
            </w:r>
            <w:r w:rsidRPr="00962332">
              <w:rPr>
                <w:rFonts w:cs="Arial"/>
                <w:i w:val="0"/>
                <w:color w:val="000000"/>
                <w:sz w:val="22"/>
                <w:szCs w:val="22"/>
              </w:rPr>
              <w:t>, 20</w:t>
            </w:r>
            <w:r>
              <w:rPr>
                <w:rFonts w:cs="Arial"/>
                <w:i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10" w:type="dxa"/>
            <w:hideMark/>
          </w:tcPr>
          <w:p w14:paraId="529AD243" w14:textId="0BF914A5" w:rsidR="00133E34" w:rsidRPr="00962332" w:rsidRDefault="00133E34" w:rsidP="00133E34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</w:rPr>
            </w:pPr>
            <w:r w:rsidRPr="00514954">
              <w:rPr>
                <w:rFonts w:asciiTheme="majorHAnsi" w:hAnsiTheme="majorHAnsi" w:cs="Arial"/>
                <w:b/>
                <w:bCs/>
                <w:color w:val="FF0000"/>
                <w:sz w:val="22"/>
                <w:szCs w:val="22"/>
              </w:rPr>
              <w:t>[enter time]</w:t>
            </w:r>
          </w:p>
        </w:tc>
        <w:tc>
          <w:tcPr>
            <w:tcW w:w="1890" w:type="dxa"/>
            <w:hideMark/>
          </w:tcPr>
          <w:p w14:paraId="18813D9E" w14:textId="3C4686E6" w:rsidR="00133E34" w:rsidRPr="00962332" w:rsidRDefault="00133E34" w:rsidP="00133E34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575BDE">
              <w:rPr>
                <w:rFonts w:asciiTheme="majorHAnsi" w:hAnsiTheme="majorHAnsi" w:cs="Arial"/>
                <w:b/>
                <w:bCs/>
                <w:color w:val="FF0000"/>
                <w:szCs w:val="24"/>
              </w:rPr>
              <w:t>[enter location]</w:t>
            </w:r>
          </w:p>
        </w:tc>
        <w:tc>
          <w:tcPr>
            <w:tcW w:w="4500" w:type="dxa"/>
            <w:hideMark/>
          </w:tcPr>
          <w:p w14:paraId="312591BE" w14:textId="78A110F6" w:rsidR="00133E34" w:rsidRPr="00962332" w:rsidRDefault="00133E34" w:rsidP="00133E34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Supporting Students who Need More than Tier 1: Connecting Students with Secondary (Tier 2) and Tertiary Interventions (Tier 3)</w:t>
            </w:r>
          </w:p>
        </w:tc>
      </w:tr>
      <w:tr w:rsidR="00133E34" w:rsidRPr="00F359AB" w14:paraId="15664F57" w14:textId="77777777" w:rsidTr="00F359AB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1C199C45" w14:textId="37C514A3" w:rsidR="00133E34" w:rsidRPr="00962332" w:rsidRDefault="00133E34" w:rsidP="00133E34">
            <w:pPr>
              <w:spacing w:beforeAutospacing="1" w:after="100" w:afterAutospacing="1"/>
              <w:rPr>
                <w:rFonts w:cs="Arial"/>
                <w:i w:val="0"/>
                <w:color w:val="000000"/>
                <w:sz w:val="22"/>
                <w:szCs w:val="22"/>
              </w:rPr>
            </w:pPr>
            <w:r>
              <w:rPr>
                <w:rFonts w:cs="Arial"/>
                <w:i w:val="0"/>
                <w:color w:val="000000"/>
                <w:sz w:val="22"/>
                <w:szCs w:val="22"/>
              </w:rPr>
              <w:t>Feb</w:t>
            </w:r>
            <w:r w:rsidRPr="00962332">
              <w:rPr>
                <w:rFonts w:cs="Arial"/>
                <w:i w:val="0"/>
                <w:color w:val="000000"/>
                <w:sz w:val="22"/>
                <w:szCs w:val="22"/>
              </w:rPr>
              <w:t xml:space="preserve">. </w:t>
            </w:r>
            <w:r>
              <w:rPr>
                <w:rFonts w:cs="Arial"/>
                <w:i w:val="0"/>
                <w:color w:val="000000"/>
                <w:sz w:val="22"/>
                <w:szCs w:val="22"/>
              </w:rPr>
              <w:t>25</w:t>
            </w:r>
            <w:r w:rsidRPr="00962332">
              <w:rPr>
                <w:rFonts w:cs="Arial"/>
                <w:i w:val="0"/>
                <w:color w:val="000000"/>
                <w:sz w:val="22"/>
                <w:szCs w:val="22"/>
              </w:rPr>
              <w:t>, 20</w:t>
            </w:r>
            <w:r>
              <w:rPr>
                <w:rFonts w:cs="Arial"/>
                <w:i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10" w:type="dxa"/>
          </w:tcPr>
          <w:p w14:paraId="1D8CD245" w14:textId="5C7ABB93" w:rsidR="00133E34" w:rsidRPr="00962332" w:rsidRDefault="00133E34" w:rsidP="00133E34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</w:rPr>
            </w:pPr>
            <w:r w:rsidRPr="00514954">
              <w:rPr>
                <w:rFonts w:asciiTheme="majorHAnsi" w:hAnsiTheme="majorHAnsi" w:cs="Arial"/>
                <w:b/>
                <w:bCs/>
                <w:color w:val="FF0000"/>
                <w:sz w:val="22"/>
                <w:szCs w:val="22"/>
              </w:rPr>
              <w:t>[enter time]</w:t>
            </w:r>
          </w:p>
        </w:tc>
        <w:tc>
          <w:tcPr>
            <w:tcW w:w="1890" w:type="dxa"/>
          </w:tcPr>
          <w:p w14:paraId="3E6B5451" w14:textId="61FB278A" w:rsidR="00133E34" w:rsidRPr="00962332" w:rsidRDefault="00133E34" w:rsidP="00133E34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BB52A9">
              <w:rPr>
                <w:rFonts w:asciiTheme="majorHAnsi" w:hAnsiTheme="majorHAnsi" w:cs="Arial"/>
                <w:b/>
                <w:bCs/>
                <w:color w:val="FF0000"/>
                <w:szCs w:val="24"/>
              </w:rPr>
              <w:t>[enter location]</w:t>
            </w:r>
          </w:p>
        </w:tc>
        <w:tc>
          <w:tcPr>
            <w:tcW w:w="4500" w:type="dxa"/>
          </w:tcPr>
          <w:p w14:paraId="368E8A8F" w14:textId="71E090F5" w:rsidR="00133E34" w:rsidRPr="00962332" w:rsidRDefault="00133E34" w:rsidP="00133E34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Supporting Students Across the Tiers: Managing Acting Out and Internalizing Behaviors</w:t>
            </w:r>
          </w:p>
        </w:tc>
      </w:tr>
      <w:tr w:rsidR="00133E34" w:rsidRPr="00F359AB" w14:paraId="3F25FB0A" w14:textId="77777777" w:rsidTr="00F35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hideMark/>
          </w:tcPr>
          <w:p w14:paraId="10FE89B6" w14:textId="3246108F" w:rsidR="00133E34" w:rsidRPr="00962332" w:rsidRDefault="00133E34" w:rsidP="00133E34">
            <w:pPr>
              <w:spacing w:beforeAutospacing="1" w:after="100" w:afterAutospacing="1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color w:val="000000"/>
                <w:sz w:val="22"/>
                <w:szCs w:val="22"/>
              </w:rPr>
              <w:t>Apr. 23, 2020</w:t>
            </w:r>
          </w:p>
        </w:tc>
        <w:tc>
          <w:tcPr>
            <w:tcW w:w="1710" w:type="dxa"/>
            <w:hideMark/>
          </w:tcPr>
          <w:p w14:paraId="0FF5BB13" w14:textId="641EC3DA" w:rsidR="00133E34" w:rsidRPr="00962332" w:rsidRDefault="00133E34" w:rsidP="00133E34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514954">
              <w:rPr>
                <w:rFonts w:asciiTheme="majorHAnsi" w:hAnsiTheme="majorHAnsi" w:cs="Arial"/>
                <w:b/>
                <w:bCs/>
                <w:color w:val="FF0000"/>
                <w:sz w:val="22"/>
                <w:szCs w:val="22"/>
              </w:rPr>
              <w:t>[enter time]</w:t>
            </w:r>
          </w:p>
        </w:tc>
        <w:tc>
          <w:tcPr>
            <w:tcW w:w="1890" w:type="dxa"/>
            <w:hideMark/>
          </w:tcPr>
          <w:p w14:paraId="611684F8" w14:textId="0C200F2F" w:rsidR="00133E34" w:rsidRPr="00962332" w:rsidRDefault="00133E34" w:rsidP="00133E34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BB52A9">
              <w:rPr>
                <w:rFonts w:asciiTheme="majorHAnsi" w:hAnsiTheme="majorHAnsi" w:cs="Arial"/>
                <w:b/>
                <w:bCs/>
                <w:color w:val="FF0000"/>
                <w:szCs w:val="24"/>
              </w:rPr>
              <w:t>[enter location]</w:t>
            </w:r>
          </w:p>
        </w:tc>
        <w:tc>
          <w:tcPr>
            <w:tcW w:w="4500" w:type="dxa"/>
            <w:hideMark/>
          </w:tcPr>
          <w:p w14:paraId="37F7F95B" w14:textId="7DDE9161" w:rsidR="00133E34" w:rsidRPr="00962332" w:rsidRDefault="00133E34" w:rsidP="00133E34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Moving Forward with Ci3T: Planning for Success</w:t>
            </w:r>
          </w:p>
        </w:tc>
      </w:tr>
    </w:tbl>
    <w:p w14:paraId="2F1C8673" w14:textId="5A22439D" w:rsidR="00753562" w:rsidRDefault="006E3030" w:rsidP="00A93303">
      <w:pPr>
        <w:pStyle w:val="Heading4"/>
        <w:spacing w:before="360"/>
        <w:rPr>
          <w:sz w:val="22"/>
        </w:rPr>
      </w:pPr>
      <w:r w:rsidRPr="00F359AB">
        <w:rPr>
          <w:sz w:val="22"/>
        </w:rPr>
        <w:t xml:space="preserve"> please visit the </w:t>
      </w:r>
      <w:hyperlink r:id="rId7" w:history="1">
        <w:r w:rsidRPr="00962332">
          <w:rPr>
            <w:rStyle w:val="Hyperlink"/>
            <w:caps w:val="0"/>
            <w:color w:val="EBB111" w:themeColor="accent1" w:themeShade="BF"/>
            <w:sz w:val="28"/>
          </w:rPr>
          <w:t>ci3t.org</w:t>
        </w:r>
        <w:r w:rsidR="00F359AB" w:rsidRPr="00962332">
          <w:rPr>
            <w:rStyle w:val="Hyperlink"/>
            <w:caps w:val="0"/>
            <w:color w:val="EBB111" w:themeColor="accent1" w:themeShade="BF"/>
            <w:sz w:val="28"/>
          </w:rPr>
          <w:t>/pl</w:t>
        </w:r>
        <w:r w:rsidR="00F359AB" w:rsidRPr="00F359AB">
          <w:rPr>
            <w:rStyle w:val="Hyperlink"/>
            <w:caps w:val="0"/>
            <w:sz w:val="28"/>
          </w:rPr>
          <w:t xml:space="preserve"> </w:t>
        </w:r>
      </w:hyperlink>
      <w:r w:rsidR="00F359AB" w:rsidRPr="00F359AB">
        <w:rPr>
          <w:sz w:val="22"/>
        </w:rPr>
        <w:t>to register or</w:t>
      </w:r>
      <w:r w:rsidRPr="00F359AB">
        <w:rPr>
          <w:sz w:val="22"/>
        </w:rPr>
        <w:t xml:space="preserve"> for in</w:t>
      </w:r>
      <w:r w:rsidR="007B6F3D">
        <w:rPr>
          <w:sz w:val="22"/>
        </w:rPr>
        <w:t>fo</w:t>
      </w:r>
      <w:r w:rsidRPr="00F359AB">
        <w:rPr>
          <w:sz w:val="22"/>
        </w:rPr>
        <w:t xml:space="preserve">rmation and resources on this topic. </w:t>
      </w:r>
    </w:p>
    <w:p w14:paraId="6F88B1CD" w14:textId="77777777" w:rsidR="002E40EB" w:rsidRPr="002E40EB" w:rsidRDefault="002E40EB" w:rsidP="002E40EB">
      <w:bookmarkStart w:id="1" w:name="_GoBack"/>
      <w:bookmarkEnd w:id="1"/>
    </w:p>
    <w:sectPr w:rsidR="002E40EB" w:rsidRPr="002E40EB" w:rsidSect="007B6F3D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70D55"/>
    <w:multiLevelType w:val="hybridMultilevel"/>
    <w:tmpl w:val="70C0D3D8"/>
    <w:lvl w:ilvl="0" w:tplc="ADAC56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748D1E">
      <w:start w:val="27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80F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922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B0F8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6CE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62D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9CB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966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887870"/>
    <w:multiLevelType w:val="hybridMultilevel"/>
    <w:tmpl w:val="54244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748D1E">
      <w:start w:val="27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80F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922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B0F8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6CE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62D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9CB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966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F7721E"/>
    <w:multiLevelType w:val="hybridMultilevel"/>
    <w:tmpl w:val="9654BCFA"/>
    <w:lvl w:ilvl="0" w:tplc="491AF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A2626C">
      <w:start w:val="27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3A3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34D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6407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248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5A4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BA7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246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0AD5430"/>
    <w:multiLevelType w:val="hybridMultilevel"/>
    <w:tmpl w:val="D4FC6212"/>
    <w:lvl w:ilvl="0" w:tplc="67DE47F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C40717C"/>
    <w:multiLevelType w:val="hybridMultilevel"/>
    <w:tmpl w:val="F07417DA"/>
    <w:lvl w:ilvl="0" w:tplc="708C4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2650D4">
      <w:start w:val="3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727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884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EA5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929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522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F01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6C8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6A01A61"/>
    <w:multiLevelType w:val="hybridMultilevel"/>
    <w:tmpl w:val="3F76DC34"/>
    <w:lvl w:ilvl="0" w:tplc="67DE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3BA78FC">
      <w:start w:val="118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196C05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534E46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636A85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2CCB93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7749DB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45A3AB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49EFE2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62"/>
    <w:rsid w:val="00030430"/>
    <w:rsid w:val="00033330"/>
    <w:rsid w:val="000A7B56"/>
    <w:rsid w:val="000C6A4B"/>
    <w:rsid w:val="000F40E6"/>
    <w:rsid w:val="000F56E8"/>
    <w:rsid w:val="001069FB"/>
    <w:rsid w:val="00133E34"/>
    <w:rsid w:val="001E11C7"/>
    <w:rsid w:val="00263762"/>
    <w:rsid w:val="002A3845"/>
    <w:rsid w:val="002D742A"/>
    <w:rsid w:val="002E40EB"/>
    <w:rsid w:val="00333314"/>
    <w:rsid w:val="00377711"/>
    <w:rsid w:val="00387253"/>
    <w:rsid w:val="003F0E32"/>
    <w:rsid w:val="004E1234"/>
    <w:rsid w:val="004F3E97"/>
    <w:rsid w:val="00523A1F"/>
    <w:rsid w:val="00592D8D"/>
    <w:rsid w:val="006169B9"/>
    <w:rsid w:val="00682989"/>
    <w:rsid w:val="006D129C"/>
    <w:rsid w:val="006E3030"/>
    <w:rsid w:val="006E77DF"/>
    <w:rsid w:val="00753562"/>
    <w:rsid w:val="007570D8"/>
    <w:rsid w:val="00767277"/>
    <w:rsid w:val="007B6F3D"/>
    <w:rsid w:val="007E78A0"/>
    <w:rsid w:val="00892571"/>
    <w:rsid w:val="008E6BE2"/>
    <w:rsid w:val="0092186A"/>
    <w:rsid w:val="00962332"/>
    <w:rsid w:val="00993DF6"/>
    <w:rsid w:val="009E54A3"/>
    <w:rsid w:val="00A02D7E"/>
    <w:rsid w:val="00A079A1"/>
    <w:rsid w:val="00A1615B"/>
    <w:rsid w:val="00A93303"/>
    <w:rsid w:val="00AC2B17"/>
    <w:rsid w:val="00B31AAD"/>
    <w:rsid w:val="00BA5A31"/>
    <w:rsid w:val="00C064CB"/>
    <w:rsid w:val="00C20C3B"/>
    <w:rsid w:val="00C374FA"/>
    <w:rsid w:val="00CA1034"/>
    <w:rsid w:val="00CD4D39"/>
    <w:rsid w:val="00D30F89"/>
    <w:rsid w:val="00D332B8"/>
    <w:rsid w:val="00D43FCD"/>
    <w:rsid w:val="00DD6569"/>
    <w:rsid w:val="00E656D3"/>
    <w:rsid w:val="00EC51FA"/>
    <w:rsid w:val="00ED1A71"/>
    <w:rsid w:val="00EF388A"/>
    <w:rsid w:val="00F03F4B"/>
    <w:rsid w:val="00F30683"/>
    <w:rsid w:val="00F359AB"/>
    <w:rsid w:val="00F36C6A"/>
    <w:rsid w:val="00F70801"/>
    <w:rsid w:val="00F86C9B"/>
    <w:rsid w:val="00FD2B68"/>
    <w:rsid w:val="00FE3956"/>
    <w:rsid w:val="00FF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B8F5A"/>
  <w15:chartTrackingRefBased/>
  <w15:docId w15:val="{B0E15DC7-9972-4511-A95F-18395E141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53562"/>
  </w:style>
  <w:style w:type="paragraph" w:styleId="Heading1">
    <w:name w:val="heading 1"/>
    <w:basedOn w:val="Normal"/>
    <w:next w:val="Normal"/>
    <w:link w:val="Heading1Char"/>
    <w:uiPriority w:val="9"/>
    <w:qFormat/>
    <w:rsid w:val="00753562"/>
    <w:pPr>
      <w:pBdr>
        <w:top w:val="single" w:sz="24" w:space="0" w:color="F3CC5F" w:themeColor="accent1"/>
        <w:left w:val="single" w:sz="24" w:space="0" w:color="F3CC5F" w:themeColor="accent1"/>
        <w:bottom w:val="single" w:sz="24" w:space="0" w:color="F3CC5F" w:themeColor="accent1"/>
        <w:right w:val="single" w:sz="24" w:space="0" w:color="F3CC5F" w:themeColor="accent1"/>
      </w:pBdr>
      <w:shd w:val="clear" w:color="auto" w:fill="F3CC5F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3562"/>
    <w:pPr>
      <w:pBdr>
        <w:top w:val="single" w:sz="24" w:space="0" w:color="FCF4DE" w:themeColor="accent1" w:themeTint="33"/>
        <w:left w:val="single" w:sz="24" w:space="0" w:color="FCF4DE" w:themeColor="accent1" w:themeTint="33"/>
        <w:bottom w:val="single" w:sz="24" w:space="0" w:color="FCF4DE" w:themeColor="accent1" w:themeTint="33"/>
        <w:right w:val="single" w:sz="24" w:space="0" w:color="FCF4DE" w:themeColor="accent1" w:themeTint="33"/>
      </w:pBdr>
      <w:shd w:val="clear" w:color="auto" w:fill="FCF4DE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3562"/>
    <w:pPr>
      <w:pBdr>
        <w:top w:val="single" w:sz="6" w:space="2" w:color="F3CC5F" w:themeColor="accent1"/>
      </w:pBdr>
      <w:spacing w:before="300" w:after="0"/>
      <w:outlineLvl w:val="2"/>
    </w:pPr>
    <w:rPr>
      <w:caps/>
      <w:color w:val="9C750B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3562"/>
    <w:pPr>
      <w:pBdr>
        <w:top w:val="dotted" w:sz="6" w:space="2" w:color="F3CC5F" w:themeColor="accent1"/>
      </w:pBdr>
      <w:spacing w:before="200" w:after="0"/>
      <w:outlineLvl w:val="3"/>
    </w:pPr>
    <w:rPr>
      <w:caps/>
      <w:color w:val="EBB11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3562"/>
    <w:pPr>
      <w:pBdr>
        <w:bottom w:val="single" w:sz="6" w:space="1" w:color="F3CC5F" w:themeColor="accent1"/>
      </w:pBdr>
      <w:spacing w:before="200" w:after="0"/>
      <w:outlineLvl w:val="4"/>
    </w:pPr>
    <w:rPr>
      <w:caps/>
      <w:color w:val="EBB11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3562"/>
    <w:pPr>
      <w:pBdr>
        <w:bottom w:val="dotted" w:sz="6" w:space="1" w:color="F3CC5F" w:themeColor="accent1"/>
      </w:pBdr>
      <w:spacing w:before="200" w:after="0"/>
      <w:outlineLvl w:val="5"/>
    </w:pPr>
    <w:rPr>
      <w:caps/>
      <w:color w:val="EBB11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3562"/>
    <w:pPr>
      <w:spacing w:before="200" w:after="0"/>
      <w:outlineLvl w:val="6"/>
    </w:pPr>
    <w:rPr>
      <w:caps/>
      <w:color w:val="EBB11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356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356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3562"/>
    <w:rPr>
      <w:caps/>
      <w:color w:val="FFFFFF" w:themeColor="background1"/>
      <w:spacing w:val="15"/>
      <w:sz w:val="22"/>
      <w:szCs w:val="22"/>
      <w:shd w:val="clear" w:color="auto" w:fill="F3CC5F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753562"/>
    <w:rPr>
      <w:caps/>
      <w:spacing w:val="15"/>
      <w:shd w:val="clear" w:color="auto" w:fill="FCF4DE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753562"/>
    <w:rPr>
      <w:caps/>
      <w:color w:val="9C750B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753562"/>
    <w:rPr>
      <w:caps/>
      <w:color w:val="EBB11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3562"/>
    <w:rPr>
      <w:caps/>
      <w:color w:val="EBB11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3562"/>
    <w:rPr>
      <w:caps/>
      <w:color w:val="EBB11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3562"/>
    <w:rPr>
      <w:caps/>
      <w:color w:val="EBB11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356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3562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53562"/>
    <w:rPr>
      <w:b/>
      <w:bCs/>
      <w:color w:val="EBB11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53562"/>
    <w:pPr>
      <w:spacing w:before="0" w:after="0"/>
    </w:pPr>
    <w:rPr>
      <w:rFonts w:asciiTheme="majorHAnsi" w:eastAsiaTheme="majorEastAsia" w:hAnsiTheme="majorHAnsi" w:cstheme="majorBidi"/>
      <w:caps/>
      <w:color w:val="F3CC5F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3562"/>
    <w:rPr>
      <w:rFonts w:asciiTheme="majorHAnsi" w:eastAsiaTheme="majorEastAsia" w:hAnsiTheme="majorHAnsi" w:cstheme="majorBidi"/>
      <w:caps/>
      <w:color w:val="F3CC5F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356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753562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753562"/>
    <w:rPr>
      <w:b/>
      <w:bCs/>
    </w:rPr>
  </w:style>
  <w:style w:type="character" w:styleId="Emphasis">
    <w:name w:val="Emphasis"/>
    <w:uiPriority w:val="20"/>
    <w:qFormat/>
    <w:rsid w:val="00753562"/>
    <w:rPr>
      <w:caps/>
      <w:color w:val="9C750B" w:themeColor="accent1" w:themeShade="7F"/>
      <w:spacing w:val="5"/>
    </w:rPr>
  </w:style>
  <w:style w:type="paragraph" w:styleId="NoSpacing">
    <w:name w:val="No Spacing"/>
    <w:uiPriority w:val="1"/>
    <w:qFormat/>
    <w:rsid w:val="0075356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53562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53562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3562"/>
    <w:pPr>
      <w:spacing w:before="240" w:after="240" w:line="240" w:lineRule="auto"/>
      <w:ind w:left="1080" w:right="1080"/>
      <w:jc w:val="center"/>
    </w:pPr>
    <w:rPr>
      <w:color w:val="F3CC5F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3562"/>
    <w:rPr>
      <w:color w:val="F3CC5F" w:themeColor="accent1"/>
      <w:sz w:val="24"/>
      <w:szCs w:val="24"/>
    </w:rPr>
  </w:style>
  <w:style w:type="character" w:styleId="SubtleEmphasis">
    <w:name w:val="Subtle Emphasis"/>
    <w:uiPriority w:val="19"/>
    <w:qFormat/>
    <w:rsid w:val="00753562"/>
    <w:rPr>
      <w:i/>
      <w:iCs/>
      <w:color w:val="9C750B" w:themeColor="accent1" w:themeShade="7F"/>
    </w:rPr>
  </w:style>
  <w:style w:type="character" w:styleId="IntenseEmphasis">
    <w:name w:val="Intense Emphasis"/>
    <w:uiPriority w:val="21"/>
    <w:qFormat/>
    <w:rsid w:val="00753562"/>
    <w:rPr>
      <w:b/>
      <w:bCs/>
      <w:caps/>
      <w:color w:val="9C750B" w:themeColor="accent1" w:themeShade="7F"/>
      <w:spacing w:val="10"/>
    </w:rPr>
  </w:style>
  <w:style w:type="character" w:styleId="SubtleReference">
    <w:name w:val="Subtle Reference"/>
    <w:uiPriority w:val="31"/>
    <w:qFormat/>
    <w:rsid w:val="00753562"/>
    <w:rPr>
      <w:b/>
      <w:bCs/>
      <w:color w:val="F3CC5F" w:themeColor="accent1"/>
    </w:rPr>
  </w:style>
  <w:style w:type="character" w:styleId="IntenseReference">
    <w:name w:val="Intense Reference"/>
    <w:uiPriority w:val="32"/>
    <w:qFormat/>
    <w:rsid w:val="00753562"/>
    <w:rPr>
      <w:b/>
      <w:bCs/>
      <w:i/>
      <w:iCs/>
      <w:caps/>
      <w:color w:val="F3CC5F" w:themeColor="accent1"/>
    </w:rPr>
  </w:style>
  <w:style w:type="character" w:styleId="BookTitle">
    <w:name w:val="Book Title"/>
    <w:uiPriority w:val="33"/>
    <w:qFormat/>
    <w:rsid w:val="00753562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3562"/>
    <w:pPr>
      <w:outlineLvl w:val="9"/>
    </w:pPr>
  </w:style>
  <w:style w:type="paragraph" w:customStyle="1" w:styleId="Default">
    <w:name w:val="Default"/>
    <w:rsid w:val="00753562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53562"/>
    <w:pPr>
      <w:spacing w:before="0"/>
      <w:ind w:left="720"/>
      <w:contextualSpacing/>
    </w:pPr>
    <w:rPr>
      <w:rFonts w:eastAsiaTheme="minorHAnsi"/>
      <w:sz w:val="22"/>
      <w:szCs w:val="22"/>
    </w:rPr>
  </w:style>
  <w:style w:type="table" w:styleId="LightShading-Accent3">
    <w:name w:val="Light Shading Accent 3"/>
    <w:basedOn w:val="TableNormal"/>
    <w:uiPriority w:val="60"/>
    <w:rsid w:val="006E3030"/>
    <w:pPr>
      <w:spacing w:before="0" w:after="0" w:line="240" w:lineRule="auto"/>
    </w:pPr>
    <w:rPr>
      <w:color w:val="926155" w:themeColor="accent3" w:themeShade="BF"/>
      <w:sz w:val="24"/>
      <w:szCs w:val="24"/>
    </w:rPr>
    <w:tblPr>
      <w:tblStyleRowBandSize w:val="1"/>
      <w:tblStyleColBandSize w:val="1"/>
      <w:tblInd w:w="0" w:type="nil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</w:style>
  <w:style w:type="table" w:styleId="ListTable7Colorful-Accent1">
    <w:name w:val="List Table 7 Colorful Accent 1"/>
    <w:basedOn w:val="TableNormal"/>
    <w:uiPriority w:val="52"/>
    <w:rsid w:val="006E3030"/>
    <w:pPr>
      <w:spacing w:after="0" w:line="240" w:lineRule="auto"/>
    </w:pPr>
    <w:rPr>
      <w:color w:val="EBB1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CC5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CC5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CC5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CC5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F4DE" w:themeFill="accent1" w:themeFillTint="33"/>
      </w:tcPr>
    </w:tblStylePr>
    <w:tblStylePr w:type="band1Horz">
      <w:tblPr/>
      <w:tcPr>
        <w:shd w:val="clear" w:color="auto" w:fill="FCF4D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6E3030"/>
    <w:rPr>
      <w:color w:val="AD1F1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F3E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E9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E9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E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E9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E9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E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44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8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4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57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33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96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7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61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03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50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7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1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93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91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7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5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55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44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6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805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79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23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i3t.org/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0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3CC5F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3D54D-00BD-4B3D-B65E-857D18B3B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Swogger, Emily Dawn</dc:creator>
  <cp:keywords/>
  <dc:description/>
  <cp:lastModifiedBy>Pérez-Clark, Paloma</cp:lastModifiedBy>
  <cp:revision>2</cp:revision>
  <dcterms:created xsi:type="dcterms:W3CDTF">2019-10-22T13:12:00Z</dcterms:created>
  <dcterms:modified xsi:type="dcterms:W3CDTF">2019-10-22T13:12:00Z</dcterms:modified>
</cp:coreProperties>
</file>