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4715" w14:textId="61888769" w:rsidR="00A079A1" w:rsidRPr="00B31AAD" w:rsidRDefault="00B31AAD" w:rsidP="00377711">
      <w:pPr>
        <w:pStyle w:val="Title"/>
        <w:rPr>
          <w:color w:val="auto"/>
          <w:sz w:val="22"/>
          <w:szCs w:val="24"/>
        </w:rPr>
      </w:pPr>
      <w:r w:rsidRPr="00B31AAD">
        <w:rPr>
          <w:noProof/>
          <w:color w:val="auto"/>
          <w:sz w:val="22"/>
          <w:szCs w:val="24"/>
        </w:rPr>
        <w:t xml:space="preserve">Implementing </w:t>
      </w:r>
      <w:r w:rsidRPr="00321C7F">
        <w:rPr>
          <w:caps w:val="0"/>
          <w:noProof/>
          <w:color w:val="auto"/>
          <w:sz w:val="22"/>
          <w:szCs w:val="24"/>
        </w:rPr>
        <w:t>Ci3T</w:t>
      </w:r>
      <w:r w:rsidRPr="00B31AAD">
        <w:rPr>
          <w:noProof/>
          <w:color w:val="auto"/>
          <w:sz w:val="22"/>
          <w:szCs w:val="24"/>
        </w:rPr>
        <w:t xml:space="preserve"> Models</w:t>
      </w:r>
      <w:r w:rsidR="00BB55D0">
        <w:rPr>
          <w:noProof/>
          <w:color w:val="auto"/>
          <w:sz w:val="22"/>
          <w:szCs w:val="24"/>
        </w:rPr>
        <w:t xml:space="preserve"> </w:t>
      </w:r>
      <w:r w:rsidR="00BB55D0">
        <w:rPr>
          <w:noProof/>
          <w:color w:val="auto"/>
          <w:sz w:val="22"/>
          <w:szCs w:val="24"/>
        </w:rPr>
        <w:tab/>
      </w:r>
      <w:r w:rsidR="00BB55D0">
        <w:rPr>
          <w:noProof/>
          <w:color w:val="auto"/>
          <w:sz w:val="22"/>
          <w:szCs w:val="24"/>
        </w:rPr>
        <w:tab/>
      </w:r>
      <w:r w:rsidR="00BB55D0">
        <w:rPr>
          <w:noProof/>
          <w:color w:val="auto"/>
          <w:sz w:val="22"/>
          <w:szCs w:val="24"/>
        </w:rPr>
        <w:tab/>
      </w:r>
      <w:r w:rsidR="00BB55D0">
        <w:rPr>
          <w:noProof/>
          <w:color w:val="auto"/>
          <w:sz w:val="22"/>
          <w:szCs w:val="24"/>
        </w:rPr>
        <w:tab/>
      </w:r>
      <w:r w:rsidR="000C046E">
        <w:rPr>
          <w:noProof/>
          <w:color w:val="auto"/>
          <w:sz w:val="22"/>
          <w:szCs w:val="24"/>
        </w:rPr>
        <w:tab/>
      </w:r>
      <w:r w:rsidR="000C046E">
        <w:rPr>
          <w:noProof/>
          <w:color w:val="auto"/>
          <w:sz w:val="22"/>
          <w:szCs w:val="24"/>
        </w:rPr>
        <w:tab/>
      </w:r>
      <w:r w:rsidR="00BB55D0">
        <w:rPr>
          <w:noProof/>
          <w:color w:val="auto"/>
          <w:sz w:val="22"/>
          <w:szCs w:val="24"/>
        </w:rPr>
        <w:tab/>
      </w:r>
      <w:r w:rsidR="00BB55D0"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  </w:t>
      </w:r>
      <w:r w:rsidR="00377711">
        <w:rPr>
          <w:noProof/>
          <w:color w:val="auto"/>
          <w:sz w:val="22"/>
          <w:szCs w:val="24"/>
        </w:rPr>
        <w:drawing>
          <wp:inline distT="0" distB="0" distL="0" distR="0" wp14:anchorId="745EBF1E" wp14:editId="71D6DDD4">
            <wp:extent cx="1007050" cy="396581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3T-logo-lowercase-i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13" cy="4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E633" w14:textId="77777777" w:rsidR="00E76125" w:rsidRDefault="00DD5470" w:rsidP="00753562">
      <w:pPr>
        <w:pStyle w:val="Heading1"/>
        <w:spacing w:before="0"/>
        <w:rPr>
          <w:sz w:val="32"/>
        </w:rPr>
      </w:pPr>
      <w:r>
        <w:rPr>
          <w:sz w:val="32"/>
        </w:rPr>
        <w:t>C</w:t>
      </w:r>
      <w:r>
        <w:rPr>
          <w:caps w:val="0"/>
          <w:sz w:val="32"/>
        </w:rPr>
        <w:t>i</w:t>
      </w:r>
      <w:r>
        <w:rPr>
          <w:sz w:val="32"/>
        </w:rPr>
        <w:t xml:space="preserve">3T Leadership Team: IMplementation </w:t>
      </w:r>
      <w:r w:rsidRPr="00753562">
        <w:rPr>
          <w:sz w:val="32"/>
        </w:rPr>
        <w:t>Agenda</w:t>
      </w:r>
    </w:p>
    <w:p w14:paraId="3AFB9BB7" w14:textId="02183D31" w:rsidR="00753562" w:rsidRDefault="002F18FE" w:rsidP="00753562">
      <w:pPr>
        <w:pStyle w:val="Heading1"/>
        <w:spacing w:before="0"/>
      </w:pPr>
      <w:r>
        <w:rPr>
          <w:b/>
        </w:rPr>
        <w:t>&lt;DATE&gt; &lt;TIME&gt;</w:t>
      </w:r>
      <w:r w:rsidR="008B3D6C">
        <w:rPr>
          <w:b/>
        </w:rPr>
        <w:t xml:space="preserve"> (2</w:t>
      </w:r>
      <w:r w:rsidR="00A7474F">
        <w:rPr>
          <w:b/>
        </w:rPr>
        <w:t xml:space="preserve"> HR)</w:t>
      </w:r>
      <w:r w:rsidR="00E76125">
        <w:rPr>
          <w:b/>
        </w:rPr>
        <w:br/>
      </w:r>
      <w:r w:rsidR="00E76125" w:rsidRPr="00E83960">
        <w:t xml:space="preserve">Presenter: </w:t>
      </w:r>
    </w:p>
    <w:p w14:paraId="27E78D05" w14:textId="2BE70AA3" w:rsidR="00DB23CE" w:rsidRPr="009205CD" w:rsidRDefault="002C47FF" w:rsidP="00DB23CE">
      <w:pPr>
        <w:pStyle w:val="Heading2"/>
        <w:rPr>
          <w:sz w:val="32"/>
        </w:rPr>
      </w:pPr>
      <w:r>
        <w:rPr>
          <w:b/>
          <w:sz w:val="32"/>
        </w:rPr>
        <w:t>Session 3</w:t>
      </w:r>
      <w:r w:rsidR="00753562" w:rsidRPr="00753562">
        <w:rPr>
          <w:b/>
          <w:sz w:val="32"/>
        </w:rPr>
        <w:t>:</w:t>
      </w:r>
      <w:r w:rsidR="00753562">
        <w:rPr>
          <w:sz w:val="32"/>
        </w:rPr>
        <w:t xml:space="preserve"> </w:t>
      </w:r>
      <w:r w:rsidR="009C793D" w:rsidRPr="009C793D">
        <w:rPr>
          <w:sz w:val="32"/>
        </w:rPr>
        <w:t>Using Your Data to Inform Instruction</w:t>
      </w:r>
      <w:bookmarkStart w:id="0" w:name="_GoBack"/>
      <w:bookmarkEnd w:id="0"/>
      <w:r w:rsidR="009920CF">
        <w:br/>
      </w:r>
      <w:bookmarkStart w:id="1" w:name="_Hlk523812722"/>
      <w:r w:rsidR="009920CF" w:rsidRPr="00C471F3">
        <w:rPr>
          <w:b/>
          <w:i/>
          <w:caps w:val="0"/>
          <w:sz w:val="20"/>
        </w:rPr>
        <w:t>This session is available for members of Ci3T Leadership Teams.</w:t>
      </w:r>
      <w:bookmarkEnd w:id="1"/>
    </w:p>
    <w:p w14:paraId="46B5112E" w14:textId="26A2392A" w:rsidR="009C793D" w:rsidRPr="00753562" w:rsidRDefault="00BB55D0" w:rsidP="009C793D">
      <w:pPr>
        <w:pStyle w:val="Heading3"/>
        <w:spacing w:after="240"/>
        <w:rPr>
          <w:rFonts w:eastAsia="Times New Roman"/>
        </w:rPr>
      </w:pPr>
      <w:r>
        <w:rPr>
          <w:rFonts w:eastAsia="Times New Roman"/>
        </w:rPr>
        <w:t>Agenda</w:t>
      </w:r>
    </w:p>
    <w:p w14:paraId="563A68C3" w14:textId="19D1E998" w:rsidR="004A2EA3" w:rsidRPr="00691C4F" w:rsidRDefault="004A2EA3" w:rsidP="0030782C">
      <w:pPr>
        <w:numPr>
          <w:ilvl w:val="0"/>
          <w:numId w:val="10"/>
        </w:numPr>
        <w:spacing w:before="0" w:after="0" w:line="240" w:lineRule="auto"/>
        <w:contextualSpacing/>
        <w:rPr>
          <w:rFonts w:asciiTheme="majorHAnsi" w:hAnsiTheme="majorHAnsi" w:cstheme="majorHAnsi"/>
          <w:color w:val="000000" w:themeColor="text1"/>
          <w:kern w:val="24"/>
          <w:szCs w:val="24"/>
        </w:rPr>
      </w:pP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>Welcome</w:t>
      </w:r>
    </w:p>
    <w:p w14:paraId="18C14FE9" w14:textId="77777777" w:rsidR="00DE694A" w:rsidRPr="00691C4F" w:rsidRDefault="00425882" w:rsidP="0030782C">
      <w:pPr>
        <w:numPr>
          <w:ilvl w:val="0"/>
          <w:numId w:val="10"/>
        </w:numPr>
        <w:spacing w:before="0" w:after="0" w:line="240" w:lineRule="auto"/>
        <w:contextualSpacing/>
        <w:rPr>
          <w:rFonts w:asciiTheme="majorHAnsi" w:hAnsiTheme="majorHAnsi" w:cstheme="majorHAnsi"/>
          <w:color w:val="000000" w:themeColor="text1"/>
          <w:kern w:val="24"/>
          <w:szCs w:val="24"/>
        </w:rPr>
      </w:pP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>Procedures for Monitoring</w:t>
      </w:r>
    </w:p>
    <w:p w14:paraId="4B236F17" w14:textId="77777777" w:rsidR="00DE694A" w:rsidRPr="00691C4F" w:rsidRDefault="00425882" w:rsidP="0030782C">
      <w:pPr>
        <w:numPr>
          <w:ilvl w:val="1"/>
          <w:numId w:val="10"/>
        </w:numPr>
        <w:spacing w:before="0" w:after="0" w:line="240" w:lineRule="auto"/>
        <w:contextualSpacing/>
        <w:rPr>
          <w:rFonts w:asciiTheme="majorHAnsi" w:hAnsiTheme="majorHAnsi" w:cstheme="majorHAnsi"/>
          <w:color w:val="000000" w:themeColor="text1"/>
          <w:kern w:val="24"/>
          <w:szCs w:val="24"/>
        </w:rPr>
      </w:pP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>Reviewing Your Implementation Data</w:t>
      </w:r>
    </w:p>
    <w:p w14:paraId="2969B034" w14:textId="77777777" w:rsidR="00DE694A" w:rsidRPr="00691C4F" w:rsidRDefault="00425882" w:rsidP="0030782C">
      <w:pPr>
        <w:numPr>
          <w:ilvl w:val="1"/>
          <w:numId w:val="10"/>
        </w:numPr>
        <w:spacing w:before="0" w:after="0" w:line="240" w:lineRule="auto"/>
        <w:contextualSpacing/>
        <w:rPr>
          <w:rFonts w:asciiTheme="majorHAnsi" w:hAnsiTheme="majorHAnsi" w:cstheme="majorHAnsi"/>
          <w:color w:val="000000" w:themeColor="text1"/>
          <w:kern w:val="24"/>
          <w:szCs w:val="24"/>
        </w:rPr>
      </w:pP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>Reviewing Your Screening Data</w:t>
      </w:r>
    </w:p>
    <w:p w14:paraId="5699957A" w14:textId="77777777" w:rsidR="00DE694A" w:rsidRPr="00691C4F" w:rsidRDefault="00425882" w:rsidP="0030782C">
      <w:pPr>
        <w:numPr>
          <w:ilvl w:val="0"/>
          <w:numId w:val="10"/>
        </w:numPr>
        <w:spacing w:before="0" w:after="0" w:line="240" w:lineRule="auto"/>
        <w:contextualSpacing/>
        <w:rPr>
          <w:rFonts w:asciiTheme="majorHAnsi" w:hAnsiTheme="majorHAnsi" w:cstheme="majorHAnsi"/>
          <w:color w:val="000000" w:themeColor="text1"/>
          <w:kern w:val="24"/>
          <w:szCs w:val="24"/>
        </w:rPr>
      </w:pP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>Data-Informed Decision Making</w:t>
      </w:r>
    </w:p>
    <w:p w14:paraId="5D085A50" w14:textId="6B1DE090" w:rsidR="00DE694A" w:rsidRPr="00691C4F" w:rsidRDefault="00425882" w:rsidP="0030782C">
      <w:pPr>
        <w:numPr>
          <w:ilvl w:val="1"/>
          <w:numId w:val="10"/>
        </w:numPr>
        <w:spacing w:before="0" w:after="0" w:line="240" w:lineRule="auto"/>
        <w:contextualSpacing/>
        <w:rPr>
          <w:rFonts w:asciiTheme="majorHAnsi" w:hAnsiTheme="majorHAnsi" w:cstheme="majorHAnsi"/>
          <w:color w:val="000000" w:themeColor="text1"/>
          <w:kern w:val="24"/>
          <w:szCs w:val="24"/>
        </w:rPr>
      </w:pP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>Empowering your Faculty and Staff</w:t>
      </w:r>
    </w:p>
    <w:p w14:paraId="7BD0E1F6" w14:textId="0A54C54F" w:rsidR="00193861" w:rsidRPr="00691C4F" w:rsidRDefault="00193861" w:rsidP="0030782C">
      <w:pPr>
        <w:numPr>
          <w:ilvl w:val="1"/>
          <w:numId w:val="10"/>
        </w:numPr>
        <w:spacing w:before="0" w:after="0" w:line="240" w:lineRule="auto"/>
        <w:contextualSpacing/>
        <w:rPr>
          <w:rFonts w:asciiTheme="majorHAnsi" w:hAnsiTheme="majorHAnsi" w:cstheme="majorHAnsi"/>
          <w:color w:val="000000" w:themeColor="text1"/>
          <w:kern w:val="24"/>
          <w:szCs w:val="24"/>
        </w:rPr>
      </w:pP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>Using data-based de</w:t>
      </w:r>
      <w:r w:rsidR="00736A60"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 xml:space="preserve">cision making to support Equity </w:t>
      </w: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>(</w:t>
      </w:r>
      <w:r w:rsidRPr="00691C4F">
        <w:rPr>
          <w:rFonts w:asciiTheme="majorHAnsi" w:hAnsiTheme="majorHAnsi" w:cstheme="majorHAnsi"/>
          <w:b/>
          <w:color w:val="000000" w:themeColor="text1"/>
          <w:kern w:val="24"/>
          <w:szCs w:val="24"/>
        </w:rPr>
        <w:t xml:space="preserve">see </w:t>
      </w:r>
      <w:r w:rsidR="00736A60" w:rsidRPr="00691C4F">
        <w:rPr>
          <w:rFonts w:asciiTheme="majorHAnsi" w:hAnsiTheme="majorHAnsi" w:cstheme="majorHAnsi"/>
          <w:b/>
          <w:color w:val="000000" w:themeColor="text1"/>
          <w:kern w:val="24"/>
          <w:szCs w:val="24"/>
        </w:rPr>
        <w:t>recommended</w:t>
      </w:r>
      <w:r w:rsidRPr="00691C4F">
        <w:rPr>
          <w:rFonts w:asciiTheme="majorHAnsi" w:hAnsiTheme="majorHAnsi" w:cstheme="majorHAnsi"/>
          <w:b/>
          <w:color w:val="000000" w:themeColor="text1"/>
          <w:kern w:val="24"/>
          <w:szCs w:val="24"/>
        </w:rPr>
        <w:t xml:space="preserve"> readings linked below</w:t>
      </w: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>)</w:t>
      </w:r>
    </w:p>
    <w:p w14:paraId="247D859B" w14:textId="77777777" w:rsidR="00DE694A" w:rsidRPr="00691C4F" w:rsidRDefault="00425882" w:rsidP="0030782C">
      <w:pPr>
        <w:numPr>
          <w:ilvl w:val="1"/>
          <w:numId w:val="10"/>
        </w:numPr>
        <w:spacing w:before="0" w:after="0" w:line="240" w:lineRule="auto"/>
        <w:contextualSpacing/>
        <w:rPr>
          <w:rFonts w:asciiTheme="majorHAnsi" w:hAnsiTheme="majorHAnsi" w:cstheme="majorHAnsi"/>
          <w:color w:val="000000" w:themeColor="text1"/>
          <w:kern w:val="24"/>
          <w:szCs w:val="24"/>
        </w:rPr>
      </w:pP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>Supporting your Students</w:t>
      </w:r>
    </w:p>
    <w:p w14:paraId="7E7B5D47" w14:textId="1814C255" w:rsidR="00DE694A" w:rsidRPr="00691C4F" w:rsidRDefault="00425882" w:rsidP="0030782C">
      <w:pPr>
        <w:numPr>
          <w:ilvl w:val="0"/>
          <w:numId w:val="10"/>
        </w:numPr>
        <w:spacing w:before="0" w:after="0" w:line="240" w:lineRule="auto"/>
        <w:contextualSpacing/>
        <w:rPr>
          <w:rFonts w:asciiTheme="majorHAnsi" w:hAnsiTheme="majorHAnsi" w:cstheme="majorHAnsi"/>
          <w:color w:val="000000" w:themeColor="text1"/>
          <w:kern w:val="24"/>
          <w:szCs w:val="24"/>
        </w:rPr>
      </w:pPr>
      <w:r w:rsidRPr="00691C4F">
        <w:rPr>
          <w:rFonts w:asciiTheme="majorHAnsi" w:hAnsiTheme="majorHAnsi" w:cstheme="majorHAnsi"/>
          <w:color w:val="000000" w:themeColor="text1"/>
          <w:kern w:val="24"/>
          <w:szCs w:val="24"/>
        </w:rPr>
        <w:t xml:space="preserve">Wrapping Up and Moving Forward </w:t>
      </w:r>
    </w:p>
    <w:p w14:paraId="61CB5074" w14:textId="77777777" w:rsidR="007B2BD3" w:rsidRPr="003B7EA9" w:rsidRDefault="007B2BD3" w:rsidP="007B2BD3">
      <w:pPr>
        <w:pStyle w:val="Heading3"/>
        <w:rPr>
          <w:rFonts w:eastAsia="Times New Roman"/>
          <w:szCs w:val="24"/>
        </w:rPr>
      </w:pPr>
      <w:r w:rsidRPr="003B7EA9">
        <w:rPr>
          <w:rFonts w:eastAsia="Times New Roman"/>
          <w:szCs w:val="24"/>
        </w:rPr>
        <w:t>SESSION DESCRIPTION</w:t>
      </w:r>
    </w:p>
    <w:p w14:paraId="4FDA6F0C" w14:textId="2BEE93F6" w:rsidR="007B2BD3" w:rsidRDefault="007B2BD3" w:rsidP="007B2BD3">
      <w:pPr>
        <w:spacing w:before="0" w:after="0"/>
        <w:contextualSpacing/>
        <w:rPr>
          <w:rFonts w:asciiTheme="majorHAnsi" w:eastAsia="Times New Roman" w:hAnsiTheme="majorHAnsi" w:cs="Times New Roman"/>
          <w:szCs w:val="24"/>
        </w:rPr>
      </w:pPr>
      <w:r w:rsidRPr="00E05035">
        <w:rPr>
          <w:rFonts w:asciiTheme="majorHAnsi" w:eastAsia="Times New Roman" w:hAnsiTheme="majorHAnsi" w:cs="Times New Roman"/>
          <w:szCs w:val="24"/>
        </w:rPr>
        <w:t xml:space="preserve">In this session, participants will </w:t>
      </w:r>
      <w:r>
        <w:rPr>
          <w:rFonts w:asciiTheme="majorHAnsi" w:eastAsia="Times New Roman" w:hAnsiTheme="majorHAnsi" w:cs="Times New Roman"/>
          <w:szCs w:val="24"/>
        </w:rPr>
        <w:t xml:space="preserve">review Ci3T </w:t>
      </w:r>
      <w:r w:rsidRPr="00E05035">
        <w:rPr>
          <w:rFonts w:asciiTheme="majorHAnsi" w:eastAsia="Times New Roman" w:hAnsiTheme="majorHAnsi" w:cs="Times New Roman"/>
          <w:szCs w:val="24"/>
        </w:rPr>
        <w:t>plan implementation</w:t>
      </w:r>
      <w:r>
        <w:rPr>
          <w:rFonts w:asciiTheme="majorHAnsi" w:eastAsia="Times New Roman" w:hAnsiTheme="majorHAnsi" w:cs="Times New Roman"/>
          <w:szCs w:val="24"/>
        </w:rPr>
        <w:t xml:space="preserve">, data interpretation, and communication with faculty and staff. </w:t>
      </w:r>
      <w:r w:rsidRPr="00E05035">
        <w:rPr>
          <w:rFonts w:asciiTheme="majorHAnsi" w:eastAsia="Times New Roman" w:hAnsiTheme="majorHAnsi" w:cs="Times New Roman"/>
          <w:szCs w:val="24"/>
        </w:rPr>
        <w:t xml:space="preserve">Ci3T team members will </w:t>
      </w:r>
      <w:r>
        <w:rPr>
          <w:rFonts w:asciiTheme="majorHAnsi" w:eastAsia="Times New Roman" w:hAnsiTheme="majorHAnsi" w:cs="Times New Roman"/>
          <w:szCs w:val="24"/>
        </w:rPr>
        <w:t>connect student screening data with secondary and tertiary intervention grids. Participants will discuss</w:t>
      </w:r>
      <w:r w:rsidR="00DE0C23">
        <w:rPr>
          <w:rFonts w:asciiTheme="majorHAnsi" w:eastAsia="Times New Roman" w:hAnsiTheme="majorHAnsi" w:cs="Times New Roman"/>
          <w:szCs w:val="24"/>
        </w:rPr>
        <w:t xml:space="preserve"> empowering of</w:t>
      </w:r>
      <w:r w:rsidRPr="00E05035">
        <w:rPr>
          <w:rFonts w:asciiTheme="majorHAnsi" w:eastAsia="Times New Roman" w:hAnsiTheme="majorHAnsi" w:cs="Times New Roman"/>
          <w:szCs w:val="24"/>
        </w:rPr>
        <w:t xml:space="preserve"> faculty and staff</w:t>
      </w:r>
      <w:r w:rsidR="00DE0C23">
        <w:rPr>
          <w:rFonts w:asciiTheme="majorHAnsi" w:eastAsia="Times New Roman" w:hAnsiTheme="majorHAnsi" w:cs="Times New Roman"/>
          <w:szCs w:val="24"/>
        </w:rPr>
        <w:t xml:space="preserve"> in order through </w:t>
      </w:r>
      <w:r>
        <w:rPr>
          <w:rFonts w:asciiTheme="majorHAnsi" w:eastAsia="Times New Roman" w:hAnsiTheme="majorHAnsi" w:cs="Times New Roman"/>
          <w:szCs w:val="24"/>
        </w:rPr>
        <w:t>professional learning and use of effective low-intensity strategies</w:t>
      </w:r>
      <w:r w:rsidRPr="00E05035">
        <w:rPr>
          <w:rFonts w:asciiTheme="majorHAnsi" w:eastAsia="Times New Roman" w:hAnsiTheme="majorHAnsi" w:cs="Times New Roman"/>
          <w:szCs w:val="24"/>
        </w:rPr>
        <w:t xml:space="preserve">. </w:t>
      </w:r>
      <w:r w:rsidR="00DE0C23">
        <w:rPr>
          <w:rFonts w:asciiTheme="majorHAnsi" w:eastAsia="Times New Roman" w:hAnsiTheme="majorHAnsi" w:cs="Times New Roman"/>
          <w:szCs w:val="24"/>
        </w:rPr>
        <w:t>Ci3T team members</w:t>
      </w:r>
      <w:r w:rsidRPr="00E05035">
        <w:rPr>
          <w:rFonts w:asciiTheme="majorHAnsi" w:eastAsia="Times New Roman" w:hAnsiTheme="majorHAnsi" w:cs="Times New Roman"/>
          <w:szCs w:val="24"/>
        </w:rPr>
        <w:t xml:space="preserve"> will </w:t>
      </w:r>
      <w:r>
        <w:rPr>
          <w:rFonts w:asciiTheme="majorHAnsi" w:eastAsia="Times New Roman" w:hAnsiTheme="majorHAnsi" w:cs="Times New Roman"/>
          <w:szCs w:val="24"/>
        </w:rPr>
        <w:t>discuss use of data in equitable decision making</w:t>
      </w:r>
      <w:r w:rsidRPr="00E05035">
        <w:rPr>
          <w:rFonts w:asciiTheme="majorHAnsi" w:eastAsia="Times New Roman" w:hAnsiTheme="majorHAnsi" w:cs="Times New Roman"/>
          <w:szCs w:val="24"/>
        </w:rPr>
        <w:t xml:space="preserve">. Session leaders will guide participants in </w:t>
      </w:r>
      <w:r w:rsidR="00DE0C23">
        <w:rPr>
          <w:rFonts w:asciiTheme="majorHAnsi" w:eastAsia="Times New Roman" w:hAnsiTheme="majorHAnsi" w:cs="Times New Roman"/>
          <w:szCs w:val="24"/>
        </w:rPr>
        <w:t>achieving the year’s</w:t>
      </w:r>
      <w:r w:rsidRPr="00E05035">
        <w:rPr>
          <w:rFonts w:asciiTheme="majorHAnsi" w:eastAsia="Times New Roman" w:hAnsiTheme="majorHAnsi" w:cs="Times New Roman"/>
          <w:szCs w:val="24"/>
        </w:rPr>
        <w:t xml:space="preserve"> </w:t>
      </w:r>
      <w:r w:rsidR="00DE0C23">
        <w:rPr>
          <w:rFonts w:asciiTheme="majorHAnsi" w:eastAsia="Times New Roman" w:hAnsiTheme="majorHAnsi" w:cs="Times New Roman"/>
          <w:szCs w:val="24"/>
        </w:rPr>
        <w:t>goals for implementation.</w:t>
      </w:r>
    </w:p>
    <w:p w14:paraId="06F45A90" w14:textId="2515C60E" w:rsidR="00DE0C23" w:rsidRPr="003B7EA9" w:rsidRDefault="00DE0C23" w:rsidP="00DE0C23">
      <w:pPr>
        <w:pStyle w:val="Heading3"/>
        <w:rPr>
          <w:rFonts w:eastAsia="Times New Roman"/>
          <w:szCs w:val="24"/>
        </w:rPr>
      </w:pPr>
      <w:r>
        <w:rPr>
          <w:rFonts w:eastAsia="Times New Roman"/>
          <w:szCs w:val="24"/>
        </w:rPr>
        <w:t>Learning objectives</w:t>
      </w:r>
    </w:p>
    <w:p w14:paraId="286AC865" w14:textId="529DF025" w:rsidR="00DE0C23" w:rsidRPr="00691C4F" w:rsidRDefault="00DE0C23" w:rsidP="007C0250">
      <w:pPr>
        <w:pStyle w:val="ListParagraph"/>
        <w:numPr>
          <w:ilvl w:val="0"/>
          <w:numId w:val="11"/>
        </w:num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91C4F">
        <w:rPr>
          <w:rFonts w:asciiTheme="majorHAnsi" w:eastAsia="Times New Roman" w:hAnsiTheme="majorHAnsi" w:cstheme="majorHAnsi"/>
          <w:sz w:val="24"/>
          <w:szCs w:val="24"/>
        </w:rPr>
        <w:t>Interpret school and student level data at the class, school, and district level to inform professional learning and use of evidence-based practices.</w:t>
      </w:r>
    </w:p>
    <w:p w14:paraId="44381299" w14:textId="43E81918" w:rsidR="00E841CD" w:rsidRPr="00691C4F" w:rsidRDefault="00E841CD" w:rsidP="00DE0C23">
      <w:pPr>
        <w:spacing w:before="0" w:after="0"/>
        <w:contextualSpacing/>
        <w:rPr>
          <w:rFonts w:asciiTheme="majorHAnsi" w:eastAsia="Times New Roman" w:hAnsiTheme="majorHAnsi" w:cstheme="majorHAnsi"/>
          <w:szCs w:val="24"/>
        </w:rPr>
      </w:pPr>
    </w:p>
    <w:p w14:paraId="33F73822" w14:textId="1D2E4F0E" w:rsidR="00B622A5" w:rsidRPr="00691C4F" w:rsidRDefault="00B622A5" w:rsidP="009C0EE9">
      <w:pPr>
        <w:pStyle w:val="ListParagraph"/>
        <w:numPr>
          <w:ilvl w:val="0"/>
          <w:numId w:val="11"/>
        </w:numPr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91C4F">
        <w:rPr>
          <w:rFonts w:asciiTheme="majorHAnsi" w:eastAsia="Times New Roman" w:hAnsiTheme="majorHAnsi" w:cstheme="majorHAnsi"/>
          <w:sz w:val="24"/>
          <w:szCs w:val="24"/>
        </w:rPr>
        <w:t xml:space="preserve">Identify elements of Ci3T plans that support equity work. This includes elements such as high-quality instruction that seeks to engage students from diverse backgrounds in specific </w:t>
      </w:r>
      <w:proofErr w:type="gramStart"/>
      <w:r w:rsidRPr="00691C4F">
        <w:rPr>
          <w:rFonts w:asciiTheme="majorHAnsi" w:eastAsia="Times New Roman" w:hAnsiTheme="majorHAnsi" w:cstheme="majorHAnsi"/>
          <w:sz w:val="24"/>
          <w:szCs w:val="24"/>
        </w:rPr>
        <w:t>ways, and</w:t>
      </w:r>
      <w:proofErr w:type="gramEnd"/>
      <w:r w:rsidRPr="00691C4F">
        <w:rPr>
          <w:rFonts w:asciiTheme="majorHAnsi" w:eastAsia="Times New Roman" w:hAnsiTheme="majorHAnsi" w:cstheme="majorHAnsi"/>
          <w:sz w:val="24"/>
          <w:szCs w:val="24"/>
        </w:rPr>
        <w:t xml:space="preserve"> applying data-based processes to identify and address disparate outcomes in academic, behavior, and social domains</w:t>
      </w:r>
      <w:r w:rsidR="004A093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8281919" w14:textId="2756CCC2" w:rsidR="00E841CD" w:rsidRPr="00691C4F" w:rsidRDefault="00A65FA2" w:rsidP="00321C7F">
      <w:pPr>
        <w:tabs>
          <w:tab w:val="left" w:pos="4470"/>
          <w:tab w:val="center" w:pos="5400"/>
        </w:tabs>
        <w:spacing w:before="0" w:after="0"/>
        <w:contextualSpacing/>
        <w:rPr>
          <w:rFonts w:asciiTheme="majorHAnsi" w:eastAsia="Times New Roman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ab/>
      </w:r>
      <w:r w:rsidR="00321C7F">
        <w:rPr>
          <w:rFonts w:asciiTheme="majorHAnsi" w:eastAsia="Times New Roman" w:hAnsiTheme="majorHAnsi" w:cstheme="majorHAnsi"/>
          <w:szCs w:val="24"/>
        </w:rPr>
        <w:tab/>
      </w:r>
    </w:p>
    <w:p w14:paraId="03D4BB7E" w14:textId="0ED90EF9" w:rsidR="00E841CD" w:rsidRPr="007C0250" w:rsidRDefault="00E841CD" w:rsidP="009C0EE9">
      <w:pPr>
        <w:pStyle w:val="ListParagraph"/>
        <w:numPr>
          <w:ilvl w:val="0"/>
          <w:numId w:val="11"/>
        </w:numPr>
        <w:spacing w:after="0"/>
        <w:rPr>
          <w:rFonts w:ascii="Calibri" w:eastAsia="Times New Roman" w:hAnsi="Calibri" w:cs="Calibri"/>
          <w:sz w:val="24"/>
          <w:szCs w:val="24"/>
        </w:rPr>
      </w:pPr>
      <w:r w:rsidRPr="00691C4F">
        <w:rPr>
          <w:rFonts w:asciiTheme="majorHAnsi" w:eastAsia="Times New Roman" w:hAnsiTheme="majorHAnsi" w:cstheme="majorHAnsi"/>
          <w:sz w:val="24"/>
          <w:szCs w:val="24"/>
        </w:rPr>
        <w:t>Gain proficiency in connecting students with interventions based on student screening data and</w:t>
      </w:r>
      <w:r w:rsidR="00B622A5" w:rsidRPr="00691C4F">
        <w:rPr>
          <w:rFonts w:asciiTheme="majorHAnsi" w:eastAsia="Times New Roman" w:hAnsiTheme="majorHAnsi" w:cstheme="majorHAnsi"/>
          <w:sz w:val="24"/>
          <w:szCs w:val="24"/>
        </w:rPr>
        <w:t xml:space="preserve"> school intervention grid</w:t>
      </w:r>
      <w:r w:rsidR="004A093B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C6AC3C4" w14:textId="77777777" w:rsidR="00DE0C23" w:rsidRDefault="00DE0C23" w:rsidP="007B2BD3">
      <w:pPr>
        <w:pStyle w:val="Heading3"/>
        <w:rPr>
          <w:rFonts w:eastAsia="Times New Roman"/>
          <w:szCs w:val="24"/>
        </w:rPr>
      </w:pPr>
    </w:p>
    <w:p w14:paraId="49A90A98" w14:textId="3162D46D" w:rsidR="007B2BD3" w:rsidRPr="007B2BD3" w:rsidRDefault="007B2BD3" w:rsidP="007B2BD3">
      <w:pPr>
        <w:pStyle w:val="Heading3"/>
        <w:rPr>
          <w:rFonts w:eastAsia="Times New Roman"/>
          <w:szCs w:val="24"/>
        </w:rPr>
      </w:pPr>
      <w:r>
        <w:rPr>
          <w:rFonts w:eastAsia="Times New Roman"/>
          <w:szCs w:val="24"/>
        </w:rPr>
        <w:t>Recommended readings (accessible from pbis.org via embedded links)</w:t>
      </w:r>
      <w:r w:rsidRPr="003B7EA9">
        <w:rPr>
          <w:szCs w:val="24"/>
        </w:rPr>
        <w:t xml:space="preserve"> </w:t>
      </w:r>
    </w:p>
    <w:p w14:paraId="2D5C0476" w14:textId="77777777" w:rsidR="007B2BD3" w:rsidRPr="00A60602" w:rsidRDefault="009205CD" w:rsidP="007B2BD3">
      <w:pPr>
        <w:spacing w:line="240" w:lineRule="auto"/>
        <w:ind w:left="450" w:hanging="450"/>
        <w:rPr>
          <w:rFonts w:asciiTheme="majorHAnsi" w:hAnsiTheme="majorHAnsi"/>
          <w:color w:val="000000" w:themeColor="text1"/>
          <w:kern w:val="24"/>
          <w:szCs w:val="24"/>
        </w:rPr>
      </w:pPr>
      <w:hyperlink r:id="rId9" w:history="1">
        <w:r w:rsidR="007B2BD3" w:rsidRPr="00701DAF">
          <w:rPr>
            <w:rStyle w:val="Hyperlink"/>
            <w:rFonts w:asciiTheme="majorHAnsi" w:hAnsiTheme="majorHAnsi"/>
            <w:kern w:val="24"/>
            <w:szCs w:val="24"/>
          </w:rPr>
          <w:t xml:space="preserve">Chaparro, E. A., Nese, R. N. T., &amp; McIntosh, K. (2015). </w:t>
        </w:r>
        <w:r w:rsidR="007B2BD3" w:rsidRPr="00701DAF">
          <w:rPr>
            <w:rStyle w:val="Hyperlink"/>
            <w:rFonts w:asciiTheme="majorHAnsi" w:hAnsiTheme="majorHAnsi"/>
            <w:i/>
            <w:kern w:val="24"/>
            <w:szCs w:val="24"/>
          </w:rPr>
          <w:t>Examples of engaging instruction to increase equity in education</w:t>
        </w:r>
        <w:r w:rsidR="007B2BD3" w:rsidRPr="00701DAF">
          <w:rPr>
            <w:rStyle w:val="Hyperlink"/>
            <w:rFonts w:asciiTheme="majorHAnsi" w:hAnsiTheme="majorHAnsi"/>
            <w:kern w:val="24"/>
            <w:szCs w:val="24"/>
          </w:rPr>
          <w:t>. OSEP Technical Assistance Center on Positive Behavioral Interventions and Supports. www.pbis.org.</w:t>
        </w:r>
      </w:hyperlink>
    </w:p>
    <w:p w14:paraId="6C9EDF1B" w14:textId="10DABB57" w:rsidR="00193861" w:rsidRPr="00193861" w:rsidRDefault="00193861" w:rsidP="001E0114">
      <w:pPr>
        <w:spacing w:line="240" w:lineRule="auto"/>
        <w:ind w:left="450" w:hanging="450"/>
        <w:rPr>
          <w:rStyle w:val="Hyperlink"/>
          <w:rFonts w:asciiTheme="majorHAnsi" w:hAnsiTheme="majorHAnsi"/>
          <w:kern w:val="24"/>
          <w:szCs w:val="24"/>
        </w:rPr>
      </w:pPr>
      <w:r>
        <w:rPr>
          <w:rFonts w:asciiTheme="majorHAnsi" w:hAnsiTheme="majorHAnsi"/>
          <w:color w:val="000000" w:themeColor="text1"/>
          <w:kern w:val="24"/>
          <w:szCs w:val="24"/>
        </w:rPr>
        <w:fldChar w:fldCharType="begin"/>
      </w:r>
      <w:r>
        <w:rPr>
          <w:rFonts w:asciiTheme="majorHAnsi" w:hAnsiTheme="majorHAnsi"/>
          <w:color w:val="000000" w:themeColor="text1"/>
          <w:kern w:val="24"/>
          <w:szCs w:val="24"/>
        </w:rPr>
        <w:instrText xml:space="preserve"> HYPERLINK "http://www.pbis.org/Common/Cms/files/pbisresources/PBIS%20Disproportionality%20Policy%20Guidebook.pdf" </w:instrText>
      </w:r>
      <w:r>
        <w:rPr>
          <w:rFonts w:asciiTheme="majorHAnsi" w:hAnsiTheme="majorHAnsi"/>
          <w:color w:val="000000" w:themeColor="text1"/>
          <w:kern w:val="24"/>
          <w:szCs w:val="24"/>
        </w:rPr>
        <w:fldChar w:fldCharType="separate"/>
      </w:r>
      <w:r w:rsidRPr="00193861">
        <w:rPr>
          <w:rStyle w:val="Hyperlink"/>
          <w:rFonts w:asciiTheme="majorHAnsi" w:hAnsiTheme="majorHAnsi"/>
          <w:kern w:val="24"/>
          <w:szCs w:val="24"/>
        </w:rPr>
        <w:t xml:space="preserve">Green, A. L., Nese, R. N. T., McIntosh, K., Nishioka, V., Eliason, B., &amp; Canizal Delabra, A. (2015). </w:t>
      </w:r>
      <w:r w:rsidRPr="00193861">
        <w:rPr>
          <w:rStyle w:val="Hyperlink"/>
          <w:rFonts w:asciiTheme="majorHAnsi" w:hAnsiTheme="majorHAnsi"/>
          <w:i/>
          <w:kern w:val="24"/>
          <w:szCs w:val="24"/>
        </w:rPr>
        <w:t>Key elements of policies to address disproportionality within SWPBIS: A guide for district and school teams</w:t>
      </w:r>
      <w:r w:rsidRPr="00193861">
        <w:rPr>
          <w:rStyle w:val="Hyperlink"/>
          <w:rFonts w:asciiTheme="majorHAnsi" w:hAnsiTheme="majorHAnsi"/>
          <w:kern w:val="24"/>
          <w:szCs w:val="24"/>
        </w:rPr>
        <w:t>. OSEP Technical Assistance Center on Positive Behavioral Interventions and Supports. www.pbis.org</w:t>
      </w:r>
    </w:p>
    <w:p w14:paraId="43A150A9" w14:textId="05DB3DF9" w:rsidR="00193861" w:rsidRPr="00A60602" w:rsidRDefault="00193861" w:rsidP="001E0114">
      <w:pPr>
        <w:spacing w:line="240" w:lineRule="auto"/>
        <w:ind w:left="450" w:hanging="450"/>
        <w:rPr>
          <w:rFonts w:asciiTheme="majorHAnsi" w:hAnsiTheme="majorHAnsi"/>
          <w:color w:val="000000" w:themeColor="text1"/>
          <w:kern w:val="24"/>
          <w:szCs w:val="24"/>
        </w:rPr>
      </w:pPr>
      <w:r>
        <w:rPr>
          <w:rFonts w:asciiTheme="majorHAnsi" w:hAnsiTheme="majorHAnsi"/>
          <w:color w:val="000000" w:themeColor="text1"/>
          <w:kern w:val="24"/>
          <w:szCs w:val="24"/>
        </w:rPr>
        <w:fldChar w:fldCharType="end"/>
      </w:r>
      <w:r w:rsidR="007B2BD3" w:rsidRPr="00A60602">
        <w:rPr>
          <w:rFonts w:asciiTheme="majorHAnsi" w:hAnsiTheme="majorHAnsi"/>
          <w:color w:val="000000" w:themeColor="text1"/>
          <w:kern w:val="24"/>
          <w:szCs w:val="24"/>
        </w:rPr>
        <w:t xml:space="preserve"> </w:t>
      </w:r>
    </w:p>
    <w:p w14:paraId="7F13B1A6" w14:textId="659A2347" w:rsidR="006E3030" w:rsidRPr="00753562" w:rsidRDefault="006E3030" w:rsidP="00A93303">
      <w:pPr>
        <w:pStyle w:val="Heading3"/>
        <w:spacing w:after="240"/>
        <w:rPr>
          <w:rFonts w:eastAsia="Times New Roman"/>
        </w:rPr>
      </w:pPr>
      <w:r>
        <w:rPr>
          <w:rFonts w:eastAsia="Times New Roman"/>
        </w:rPr>
        <w:t xml:space="preserve">Future Professional </w:t>
      </w:r>
      <w:r w:rsidR="00767277">
        <w:rPr>
          <w:rFonts w:eastAsia="Times New Roman"/>
        </w:rPr>
        <w:t xml:space="preserve">learning </w:t>
      </w:r>
      <w:r w:rsidR="002F18FE">
        <w:rPr>
          <w:rFonts w:eastAsia="Times New Roman"/>
        </w:rPr>
        <w:t>OPPORTUNITIES</w:t>
      </w:r>
      <w:r w:rsidR="00767277">
        <w:rPr>
          <w:rFonts w:eastAsia="Times New Roman"/>
        </w:rPr>
        <w:t>:</w:t>
      </w:r>
    </w:p>
    <w:tbl>
      <w:tblPr>
        <w:tblStyle w:val="ListTable7Colorful-Accent1"/>
        <w:tblW w:w="10846" w:type="dxa"/>
        <w:tblLayout w:type="fixed"/>
        <w:tblLook w:val="04A0" w:firstRow="1" w:lastRow="0" w:firstColumn="1" w:lastColumn="0" w:noHBand="0" w:noVBand="1"/>
      </w:tblPr>
      <w:tblGrid>
        <w:gridCol w:w="1767"/>
        <w:gridCol w:w="1987"/>
        <w:gridCol w:w="3129"/>
        <w:gridCol w:w="3963"/>
      </w:tblGrid>
      <w:tr w:rsidR="006E3030" w14:paraId="64DDB3DC" w14:textId="77777777" w:rsidTr="00E76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7" w:type="dxa"/>
            <w:noWrap/>
            <w:hideMark/>
          </w:tcPr>
          <w:p w14:paraId="319338E6" w14:textId="77777777" w:rsidR="006E3030" w:rsidRPr="00C374FA" w:rsidRDefault="006E3030" w:rsidP="006E3030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987" w:type="dxa"/>
            <w:noWrap/>
            <w:hideMark/>
          </w:tcPr>
          <w:p w14:paraId="77FA9250" w14:textId="77777777" w:rsidR="006E3030" w:rsidRPr="00C374FA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129" w:type="dxa"/>
            <w:noWrap/>
            <w:hideMark/>
          </w:tcPr>
          <w:p w14:paraId="62CC0132" w14:textId="77777777" w:rsidR="006E3030" w:rsidRPr="00C374FA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963" w:type="dxa"/>
            <w:hideMark/>
          </w:tcPr>
          <w:p w14:paraId="4756B800" w14:textId="77777777" w:rsidR="006E3030" w:rsidRPr="00C374FA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2"/>
                <w:szCs w:val="22"/>
              </w:rPr>
            </w:pPr>
            <w:r w:rsidRPr="00C374FA">
              <w:rPr>
                <w:rFonts w:cs="Arial"/>
                <w:b/>
                <w:i w:val="0"/>
                <w:color w:val="000000"/>
                <w:sz w:val="22"/>
                <w:szCs w:val="22"/>
              </w:rPr>
              <w:t>Topic</w:t>
            </w:r>
          </w:p>
        </w:tc>
      </w:tr>
      <w:tr w:rsidR="00D724A7" w14:paraId="15664F57" w14:textId="77777777" w:rsidTr="00E76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1C199C45" w14:textId="11355411" w:rsidR="00D724A7" w:rsidRPr="00523A1F" w:rsidRDefault="00D724A7" w:rsidP="00D724A7">
            <w:pPr>
              <w:spacing w:beforeAutospacing="1" w:after="100" w:afterAutospacing="1"/>
              <w:rPr>
                <w:rFonts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14:paraId="1D8CD245" w14:textId="6DD97A63" w:rsidR="00D724A7" w:rsidRPr="00B31AAD" w:rsidRDefault="00D724A7" w:rsidP="00D724A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29" w:type="dxa"/>
          </w:tcPr>
          <w:p w14:paraId="3E6B5451" w14:textId="3B9C14DF" w:rsidR="00D724A7" w:rsidRPr="00B31AAD" w:rsidRDefault="00D724A7" w:rsidP="00D724A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</w:tcPr>
          <w:p w14:paraId="368E8A8F" w14:textId="7D57EB15" w:rsidR="00D724A7" w:rsidRPr="00BB55D0" w:rsidRDefault="00D724A7" w:rsidP="00D724A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4"/>
              </w:rPr>
              <w:t>Supporting Student Success Across the Tiers</w:t>
            </w:r>
          </w:p>
        </w:tc>
      </w:tr>
      <w:tr w:rsidR="00D724A7" w14:paraId="3F25FB0A" w14:textId="77777777" w:rsidTr="002F18FE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10FE89B6" w14:textId="45E6D722" w:rsidR="00D724A7" w:rsidRPr="00263762" w:rsidRDefault="00D724A7" w:rsidP="00D724A7">
            <w:pPr>
              <w:spacing w:beforeAutospacing="1" w:after="100" w:afterAutospacing="1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987" w:type="dxa"/>
          </w:tcPr>
          <w:p w14:paraId="0FF5BB13" w14:textId="693A1D36" w:rsidR="00D724A7" w:rsidRPr="00B31AAD" w:rsidRDefault="00D724A7" w:rsidP="00D724A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9" w:type="dxa"/>
          </w:tcPr>
          <w:p w14:paraId="611684F8" w14:textId="4B391DD4" w:rsidR="00D724A7" w:rsidRPr="00B31AAD" w:rsidRDefault="00D724A7" w:rsidP="00D724A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hideMark/>
          </w:tcPr>
          <w:p w14:paraId="37F7F95B" w14:textId="74C7B020" w:rsidR="00D724A7" w:rsidRPr="00BB55D0" w:rsidRDefault="00D724A7" w:rsidP="00D724A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Cs w:val="22"/>
              </w:rPr>
            </w:pPr>
            <w:r w:rsidRPr="00BB55D0">
              <w:rPr>
                <w:rFonts w:asciiTheme="majorHAnsi" w:hAnsiTheme="majorHAnsi" w:cs="Arial"/>
                <w:color w:val="000000"/>
                <w:szCs w:val="22"/>
              </w:rPr>
              <w:t>Planning for the Year Ahead</w:t>
            </w:r>
          </w:p>
        </w:tc>
      </w:tr>
    </w:tbl>
    <w:p w14:paraId="2F1C8673" w14:textId="6F81B20A" w:rsidR="00753562" w:rsidRDefault="006E3030" w:rsidP="00A93303">
      <w:pPr>
        <w:pStyle w:val="Heading4"/>
        <w:spacing w:before="360"/>
      </w:pPr>
      <w:r w:rsidRPr="00753562">
        <w:t xml:space="preserve"> </w:t>
      </w:r>
      <w:r>
        <w:t xml:space="preserve">please visit </w:t>
      </w:r>
      <w:hyperlink r:id="rId10" w:history="1">
        <w:r w:rsidRPr="006E3030">
          <w:rPr>
            <w:rStyle w:val="Hyperlink"/>
            <w:caps w:val="0"/>
            <w:color w:val="auto"/>
          </w:rPr>
          <w:t>ci3t.org</w:t>
        </w:r>
      </w:hyperlink>
      <w:r w:rsidRPr="006E3030">
        <w:rPr>
          <w:caps w:val="0"/>
          <w:sz w:val="28"/>
        </w:rPr>
        <w:t xml:space="preserve"> </w:t>
      </w:r>
      <w:r>
        <w:t>for in</w:t>
      </w:r>
      <w:r w:rsidR="00AB28A0">
        <w:t>FO</w:t>
      </w:r>
      <w:r>
        <w:t xml:space="preserve">rmation and resources on this topic. </w:t>
      </w:r>
    </w:p>
    <w:p w14:paraId="5D982809" w14:textId="77777777" w:rsidR="00A7474F" w:rsidRPr="00D90DD3" w:rsidRDefault="00A7474F" w:rsidP="00E76125">
      <w:pPr>
        <w:rPr>
          <w:szCs w:val="24"/>
        </w:rPr>
      </w:pPr>
    </w:p>
    <w:sectPr w:rsidR="00A7474F" w:rsidRPr="00D90DD3" w:rsidSect="00A65FA2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0E76" w14:textId="77777777" w:rsidR="00802259" w:rsidRDefault="00802259" w:rsidP="00AB28A0">
      <w:pPr>
        <w:spacing w:before="0" w:after="0" w:line="240" w:lineRule="auto"/>
      </w:pPr>
      <w:r>
        <w:separator/>
      </w:r>
    </w:p>
  </w:endnote>
  <w:endnote w:type="continuationSeparator" w:id="0">
    <w:p w14:paraId="25DC8917" w14:textId="77777777" w:rsidR="00802259" w:rsidRDefault="00802259" w:rsidP="00AB28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EE95" w14:textId="0513DE66" w:rsidR="00AB28A0" w:rsidRDefault="00A65FA2">
    <w:pPr>
      <w:pStyle w:val="Footer"/>
    </w:pPr>
    <w:r w:rsidRPr="00A65FA2">
      <w:rPr>
        <w:position w:val="-16"/>
      </w:rPr>
      <w:ptab w:relativeTo="margin" w:alignment="center" w:leader="none"/>
    </w:r>
    <w:r w:rsidRPr="00A84E83">
      <w:rPr>
        <w:noProof/>
        <w:position w:val="-16"/>
        <w:sz w:val="22"/>
        <w:szCs w:val="24"/>
      </w:rPr>
      <w:drawing>
        <wp:inline distT="0" distB="0" distL="0" distR="0" wp14:anchorId="070276A4" wp14:editId="048E1E2A">
          <wp:extent cx="1007050" cy="396581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13" cy="40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5FA2">
      <w:rPr>
        <w:position w:val="-16"/>
      </w:rPr>
      <w:ptab w:relativeTo="margin" w:alignment="right" w:leader="none"/>
    </w:r>
    <w:r>
      <w:t xml:space="preserve">Ci3T IMP SESSION 3 AGENDA      </w:t>
    </w:r>
    <w:r>
      <w:fldChar w:fldCharType="begin"/>
    </w:r>
    <w:r>
      <w:instrText xml:space="preserve"> PAGE   \* MERGEFORMAT </w:instrText>
    </w:r>
    <w:r>
      <w:fldChar w:fldCharType="separate"/>
    </w:r>
    <w:r w:rsidR="002F18F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09E6D" w14:textId="77777777" w:rsidR="00802259" w:rsidRDefault="00802259" w:rsidP="00AB28A0">
      <w:pPr>
        <w:spacing w:before="0" w:after="0" w:line="240" w:lineRule="auto"/>
      </w:pPr>
      <w:r>
        <w:separator/>
      </w:r>
    </w:p>
  </w:footnote>
  <w:footnote w:type="continuationSeparator" w:id="0">
    <w:p w14:paraId="020ACAE2" w14:textId="77777777" w:rsidR="00802259" w:rsidRDefault="00802259" w:rsidP="00AB28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E89"/>
    <w:multiLevelType w:val="hybridMultilevel"/>
    <w:tmpl w:val="3A7406B4"/>
    <w:lvl w:ilvl="0" w:tplc="80604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EDC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E90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4C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CF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5E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69D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00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A18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895264"/>
    <w:multiLevelType w:val="hybridMultilevel"/>
    <w:tmpl w:val="0AA49E8E"/>
    <w:lvl w:ilvl="0" w:tplc="408C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EDC54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018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A9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87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0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2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0C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451E2E"/>
    <w:multiLevelType w:val="hybridMultilevel"/>
    <w:tmpl w:val="1936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D0FB0"/>
    <w:multiLevelType w:val="hybridMultilevel"/>
    <w:tmpl w:val="F538EC64"/>
    <w:lvl w:ilvl="0" w:tplc="56127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EE9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41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AF4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6C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A1F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80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94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6E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6C53"/>
    <w:multiLevelType w:val="hybridMultilevel"/>
    <w:tmpl w:val="0BEA7680"/>
    <w:lvl w:ilvl="0" w:tplc="7EC8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26E26">
      <w:start w:val="1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2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E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E4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4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02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A3393B"/>
    <w:multiLevelType w:val="hybridMultilevel"/>
    <w:tmpl w:val="939AF2F0"/>
    <w:lvl w:ilvl="0" w:tplc="8B42D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864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4F1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285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CD4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C4E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C7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A84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28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E5965"/>
    <w:multiLevelType w:val="hybridMultilevel"/>
    <w:tmpl w:val="63ECBCD4"/>
    <w:lvl w:ilvl="0" w:tplc="C09A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80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83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6D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22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0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80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02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CD5F4C"/>
    <w:multiLevelType w:val="hybridMultilevel"/>
    <w:tmpl w:val="40F0B6FA"/>
    <w:lvl w:ilvl="0" w:tplc="7EC8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26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2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E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E4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4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02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2"/>
    <w:rsid w:val="000A781E"/>
    <w:rsid w:val="000C046E"/>
    <w:rsid w:val="000C6A4B"/>
    <w:rsid w:val="000F40E6"/>
    <w:rsid w:val="001002A9"/>
    <w:rsid w:val="00193861"/>
    <w:rsid w:val="001A692E"/>
    <w:rsid w:val="001E0114"/>
    <w:rsid w:val="00235B00"/>
    <w:rsid w:val="00263762"/>
    <w:rsid w:val="0028470E"/>
    <w:rsid w:val="002A61C2"/>
    <w:rsid w:val="002C47FF"/>
    <w:rsid w:val="002F18FE"/>
    <w:rsid w:val="0030782C"/>
    <w:rsid w:val="00321C7F"/>
    <w:rsid w:val="00333314"/>
    <w:rsid w:val="00345D0F"/>
    <w:rsid w:val="00377711"/>
    <w:rsid w:val="00425882"/>
    <w:rsid w:val="004A093B"/>
    <w:rsid w:val="004A2EA3"/>
    <w:rsid w:val="004E1234"/>
    <w:rsid w:val="004F3E97"/>
    <w:rsid w:val="00523A1F"/>
    <w:rsid w:val="005709D9"/>
    <w:rsid w:val="005E3D85"/>
    <w:rsid w:val="0060137B"/>
    <w:rsid w:val="00682989"/>
    <w:rsid w:val="00691C4F"/>
    <w:rsid w:val="006E3030"/>
    <w:rsid w:val="00701DAF"/>
    <w:rsid w:val="00736A60"/>
    <w:rsid w:val="00753562"/>
    <w:rsid w:val="00767277"/>
    <w:rsid w:val="007B2BD3"/>
    <w:rsid w:val="007B3772"/>
    <w:rsid w:val="007C0250"/>
    <w:rsid w:val="00802259"/>
    <w:rsid w:val="00832A1B"/>
    <w:rsid w:val="00883BBB"/>
    <w:rsid w:val="00892571"/>
    <w:rsid w:val="008B3D6C"/>
    <w:rsid w:val="009205CD"/>
    <w:rsid w:val="009920CF"/>
    <w:rsid w:val="009C0EE9"/>
    <w:rsid w:val="009C5FE9"/>
    <w:rsid w:val="009C793D"/>
    <w:rsid w:val="009E54A3"/>
    <w:rsid w:val="00A079A1"/>
    <w:rsid w:val="00A60602"/>
    <w:rsid w:val="00A65FA2"/>
    <w:rsid w:val="00A7474F"/>
    <w:rsid w:val="00A93303"/>
    <w:rsid w:val="00AB28A0"/>
    <w:rsid w:val="00AC2B17"/>
    <w:rsid w:val="00B31AAD"/>
    <w:rsid w:val="00B622A5"/>
    <w:rsid w:val="00BB55D0"/>
    <w:rsid w:val="00BF012E"/>
    <w:rsid w:val="00C20C3B"/>
    <w:rsid w:val="00C374FA"/>
    <w:rsid w:val="00CC4889"/>
    <w:rsid w:val="00CD4D39"/>
    <w:rsid w:val="00D332B8"/>
    <w:rsid w:val="00D724A7"/>
    <w:rsid w:val="00D90DD3"/>
    <w:rsid w:val="00DB23CE"/>
    <w:rsid w:val="00DD5470"/>
    <w:rsid w:val="00DD6569"/>
    <w:rsid w:val="00DE0C23"/>
    <w:rsid w:val="00DE694A"/>
    <w:rsid w:val="00E76125"/>
    <w:rsid w:val="00E841CD"/>
    <w:rsid w:val="00EA1E82"/>
    <w:rsid w:val="00EC51FA"/>
    <w:rsid w:val="00ED1A71"/>
    <w:rsid w:val="00EF7655"/>
    <w:rsid w:val="00F1726C"/>
    <w:rsid w:val="00F36C6A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8A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8A0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B28A0"/>
    <w:rPr>
      <w:caps/>
      <w:color w:val="6D1D6A" w:themeColor="accent1" w:themeShade="BF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92278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472CB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066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8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A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B28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A0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0114"/>
    <w:rPr>
      <w:color w:val="666699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rfs.home.ku.edu\groups\crl\Lane\KU%20Lane%20Research%20Projects\2015%20IES%20Ci3T%20Partnership\2015%20IES%20Ci3T%20Partnership%20PL\IES%20Ci3T%20Partnership%20Team%20ES%20Mtgs\01%202015%2009%2028%20ES%20Ci3T%20Team\ci3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is.org/Common/Cms/files/pbisresources/Engaging%20Instruction%20to%20Increase%20Equity%20in%20Educat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33FE-9D96-4364-B3BD-B2871380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3</cp:revision>
  <dcterms:created xsi:type="dcterms:W3CDTF">2018-09-06T00:10:00Z</dcterms:created>
  <dcterms:modified xsi:type="dcterms:W3CDTF">2018-09-06T13:05:00Z</dcterms:modified>
</cp:coreProperties>
</file>