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20" w:rsidRPr="009E707E" w:rsidRDefault="00400A36" w:rsidP="00F77820">
      <w:pPr>
        <w:pStyle w:val="Title"/>
      </w:pPr>
      <w:r>
        <w:t>Template</w:t>
      </w:r>
      <w:r w:rsidR="00F77820" w:rsidRPr="009E707E">
        <w:t>:</w:t>
      </w:r>
    </w:p>
    <w:p w:rsidR="009E75C1" w:rsidRDefault="00F77820" w:rsidP="00C10C4E">
      <w:pPr>
        <w:pStyle w:val="Subtitle"/>
        <w:spacing w:after="120"/>
        <w:rPr>
          <w:sz w:val="32"/>
        </w:rPr>
      </w:pPr>
      <w:r w:rsidRPr="00F77820">
        <w:rPr>
          <w:sz w:val="32"/>
        </w:rPr>
        <w:t>Individualized De</w:t>
      </w:r>
      <w:r>
        <w:rPr>
          <w:sz w:val="32"/>
        </w:rPr>
        <w:t>-</w:t>
      </w:r>
      <w:r w:rsidRPr="00F77820">
        <w:rPr>
          <w:sz w:val="32"/>
        </w:rPr>
        <w:t>escalation Support Plan</w:t>
      </w:r>
    </w:p>
    <w:p w:rsidR="00F77820" w:rsidRPr="009E707E" w:rsidRDefault="00F77820" w:rsidP="009E707E">
      <w:pPr>
        <w:pStyle w:val="Heading1"/>
        <w:spacing w:before="0" w:after="0"/>
        <w:rPr>
          <w:sz w:val="24"/>
        </w:rPr>
      </w:pPr>
      <w:r w:rsidRPr="009E707E">
        <w:rPr>
          <w:b/>
          <w:sz w:val="24"/>
        </w:rPr>
        <w:t>Student:</w:t>
      </w:r>
      <w:r w:rsidR="00D63CFB" w:rsidRPr="009E707E">
        <w:rPr>
          <w:sz w:val="24"/>
        </w:rPr>
        <w:tab/>
      </w:r>
      <w:r w:rsidR="00C41D8D">
        <w:rPr>
          <w:sz w:val="24"/>
        </w:rPr>
        <w:tab/>
      </w:r>
      <w:r w:rsidRPr="009E707E">
        <w:rPr>
          <w:b/>
          <w:sz w:val="24"/>
        </w:rPr>
        <w:t>Date:</w:t>
      </w:r>
      <w:r w:rsidRPr="009E707E">
        <w:rPr>
          <w:sz w:val="24"/>
        </w:rPr>
        <w:t xml:space="preserve"> </w:t>
      </w:r>
    </w:p>
    <w:p w:rsidR="00F77820" w:rsidRPr="009E707E" w:rsidRDefault="00F77820" w:rsidP="009E707E">
      <w:pPr>
        <w:pStyle w:val="Heading1"/>
        <w:spacing w:before="0" w:after="0"/>
        <w:rPr>
          <w:sz w:val="24"/>
        </w:rPr>
      </w:pPr>
      <w:r w:rsidRPr="009E707E">
        <w:rPr>
          <w:b/>
          <w:sz w:val="24"/>
        </w:rPr>
        <w:t>Teacher:</w:t>
      </w:r>
      <w:r w:rsidRPr="009E707E">
        <w:rPr>
          <w:sz w:val="24"/>
        </w:rPr>
        <w:tab/>
      </w:r>
      <w:r w:rsidR="009E707E">
        <w:rPr>
          <w:sz w:val="24"/>
        </w:rPr>
        <w:tab/>
      </w:r>
      <w:r w:rsidRPr="009E707E">
        <w:rPr>
          <w:b/>
          <w:sz w:val="24"/>
        </w:rPr>
        <w:t>Grade</w:t>
      </w:r>
      <w:r w:rsidRPr="009E707E">
        <w:rPr>
          <w:sz w:val="24"/>
        </w:rPr>
        <w:t>:</w:t>
      </w:r>
    </w:p>
    <w:p w:rsidR="00F77820" w:rsidRPr="009E707E" w:rsidRDefault="00F77820" w:rsidP="009E707E">
      <w:pPr>
        <w:pStyle w:val="Heading1"/>
        <w:spacing w:before="0" w:after="0"/>
        <w:rPr>
          <w:sz w:val="24"/>
        </w:rPr>
      </w:pPr>
      <w:r w:rsidRPr="009E707E">
        <w:rPr>
          <w:b/>
          <w:sz w:val="24"/>
        </w:rPr>
        <w:t>Staff present</w:t>
      </w:r>
      <w:r w:rsidRPr="009E707E">
        <w:rPr>
          <w:sz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4419"/>
        <w:gridCol w:w="4306"/>
      </w:tblGrid>
      <w:tr w:rsidR="00F77820" w:rsidTr="007546C5">
        <w:tc>
          <w:tcPr>
            <w:tcW w:w="2070" w:type="dxa"/>
            <w:tcBorders>
              <w:top w:val="nil"/>
              <w:left w:val="nil"/>
            </w:tcBorders>
          </w:tcPr>
          <w:p w:rsidR="00F77820" w:rsidRPr="00F77820" w:rsidRDefault="00F77820" w:rsidP="00F77820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4419" w:type="dxa"/>
          </w:tcPr>
          <w:p w:rsidR="00F77820" w:rsidRPr="00F77820" w:rsidRDefault="00F77820" w:rsidP="00926EEE">
            <w:pPr>
              <w:pStyle w:val="Heading2"/>
              <w:outlineLvl w:val="1"/>
              <w:rPr>
                <w:b/>
              </w:rPr>
            </w:pPr>
            <w:r w:rsidRPr="00F77820">
              <w:rPr>
                <w:b/>
              </w:rPr>
              <w:t>Assessment</w:t>
            </w:r>
            <w:r w:rsidR="00926EEE">
              <w:rPr>
                <w:b/>
              </w:rPr>
              <w:t xml:space="preserve"> </w:t>
            </w:r>
            <w:r w:rsidR="00926EEE" w:rsidRPr="00926EEE">
              <w:rPr>
                <w:rStyle w:val="Heading3Char"/>
                <w:sz w:val="24"/>
              </w:rPr>
              <w:t>(student characteristics)</w:t>
            </w:r>
          </w:p>
        </w:tc>
        <w:tc>
          <w:tcPr>
            <w:tcW w:w="4306" w:type="dxa"/>
          </w:tcPr>
          <w:p w:rsidR="00F77820" w:rsidRPr="00F77820" w:rsidRDefault="00F77820" w:rsidP="00F77820">
            <w:pPr>
              <w:pStyle w:val="Heading2"/>
              <w:outlineLvl w:val="1"/>
              <w:rPr>
                <w:b/>
              </w:rPr>
            </w:pPr>
            <w:r w:rsidRPr="00F77820">
              <w:rPr>
                <w:b/>
              </w:rPr>
              <w:t>Strategies</w:t>
            </w:r>
            <w:r w:rsidR="00926EEE" w:rsidRPr="00BB14FD">
              <w:rPr>
                <w:b/>
                <w:sz w:val="24"/>
              </w:rPr>
              <w:t xml:space="preserve"> </w:t>
            </w:r>
            <w:r w:rsidR="00BB14FD" w:rsidRPr="00BB14FD">
              <w:rPr>
                <w:sz w:val="24"/>
              </w:rPr>
              <w:t>(specific adult responses)</w:t>
            </w:r>
          </w:p>
        </w:tc>
      </w:tr>
      <w:tr w:rsidR="00F77820" w:rsidTr="00C10C4E">
        <w:trPr>
          <w:trHeight w:val="1008"/>
        </w:trPr>
        <w:tc>
          <w:tcPr>
            <w:tcW w:w="2070" w:type="dxa"/>
            <w:vAlign w:val="center"/>
          </w:tcPr>
          <w:p w:rsidR="00F77820" w:rsidRPr="009E707E" w:rsidRDefault="00F77820" w:rsidP="00D63CFB">
            <w:pPr>
              <w:pStyle w:val="Heading1"/>
              <w:jc w:val="center"/>
              <w:outlineLvl w:val="0"/>
              <w:rPr>
                <w:sz w:val="28"/>
              </w:rPr>
            </w:pPr>
            <w:r w:rsidRPr="009E707E">
              <w:rPr>
                <w:sz w:val="28"/>
              </w:rPr>
              <w:t>CALM</w:t>
            </w:r>
          </w:p>
        </w:tc>
        <w:tc>
          <w:tcPr>
            <w:tcW w:w="4419" w:type="dxa"/>
          </w:tcPr>
          <w:p w:rsidR="00F77820" w:rsidRDefault="00F77820" w:rsidP="00F77820"/>
        </w:tc>
        <w:tc>
          <w:tcPr>
            <w:tcW w:w="4306" w:type="dxa"/>
          </w:tcPr>
          <w:p w:rsidR="00F77820" w:rsidRDefault="00F77820" w:rsidP="00F77820"/>
        </w:tc>
      </w:tr>
      <w:tr w:rsidR="00F77820" w:rsidTr="00C10C4E">
        <w:trPr>
          <w:trHeight w:val="1008"/>
        </w:trPr>
        <w:tc>
          <w:tcPr>
            <w:tcW w:w="2070" w:type="dxa"/>
            <w:vAlign w:val="center"/>
          </w:tcPr>
          <w:p w:rsidR="00F77820" w:rsidRPr="009E707E" w:rsidRDefault="00F77820" w:rsidP="00D63CFB">
            <w:pPr>
              <w:pStyle w:val="Heading1"/>
              <w:jc w:val="center"/>
              <w:outlineLvl w:val="0"/>
              <w:rPr>
                <w:sz w:val="28"/>
              </w:rPr>
            </w:pPr>
            <w:r w:rsidRPr="009E707E">
              <w:rPr>
                <w:sz w:val="28"/>
              </w:rPr>
              <w:t>TRIGGERS</w:t>
            </w:r>
          </w:p>
        </w:tc>
        <w:tc>
          <w:tcPr>
            <w:tcW w:w="4419" w:type="dxa"/>
          </w:tcPr>
          <w:p w:rsidR="00F77820" w:rsidRDefault="00F77820" w:rsidP="00F77820"/>
        </w:tc>
        <w:tc>
          <w:tcPr>
            <w:tcW w:w="4306" w:type="dxa"/>
          </w:tcPr>
          <w:p w:rsidR="00F77820" w:rsidRDefault="00F77820" w:rsidP="00F77820"/>
        </w:tc>
      </w:tr>
      <w:tr w:rsidR="00F77820" w:rsidTr="00C10C4E">
        <w:trPr>
          <w:trHeight w:val="1008"/>
        </w:trPr>
        <w:tc>
          <w:tcPr>
            <w:tcW w:w="2070" w:type="dxa"/>
            <w:vAlign w:val="center"/>
          </w:tcPr>
          <w:p w:rsidR="00F77820" w:rsidRPr="009E707E" w:rsidRDefault="00F77820" w:rsidP="00D63CFB">
            <w:pPr>
              <w:pStyle w:val="Heading1"/>
              <w:jc w:val="center"/>
              <w:outlineLvl w:val="0"/>
              <w:rPr>
                <w:sz w:val="28"/>
              </w:rPr>
            </w:pPr>
            <w:r w:rsidRPr="009E707E">
              <w:rPr>
                <w:sz w:val="28"/>
              </w:rPr>
              <w:t>AGITATION</w:t>
            </w:r>
          </w:p>
        </w:tc>
        <w:tc>
          <w:tcPr>
            <w:tcW w:w="4419" w:type="dxa"/>
          </w:tcPr>
          <w:p w:rsidR="00D63CFB" w:rsidRDefault="00D63CFB" w:rsidP="00F77820"/>
        </w:tc>
        <w:tc>
          <w:tcPr>
            <w:tcW w:w="4306" w:type="dxa"/>
          </w:tcPr>
          <w:p w:rsidR="00D63CFB" w:rsidRDefault="00D63CFB" w:rsidP="00F77820"/>
        </w:tc>
      </w:tr>
      <w:tr w:rsidR="00F77820" w:rsidTr="00C10C4E">
        <w:trPr>
          <w:trHeight w:val="1008"/>
        </w:trPr>
        <w:tc>
          <w:tcPr>
            <w:tcW w:w="2070" w:type="dxa"/>
          </w:tcPr>
          <w:p w:rsidR="00F77820" w:rsidRPr="009E707E" w:rsidRDefault="00D63CFB" w:rsidP="00D63CFB">
            <w:pPr>
              <w:pStyle w:val="Heading1"/>
              <w:jc w:val="center"/>
              <w:outlineLvl w:val="0"/>
              <w:rPr>
                <w:sz w:val="28"/>
              </w:rPr>
            </w:pPr>
            <w:r w:rsidRPr="009E707E">
              <w:rPr>
                <w:sz w:val="28"/>
              </w:rPr>
              <w:t>ACCELERATION</w:t>
            </w:r>
          </w:p>
        </w:tc>
        <w:tc>
          <w:tcPr>
            <w:tcW w:w="4419" w:type="dxa"/>
          </w:tcPr>
          <w:p w:rsidR="00D63CFB" w:rsidRDefault="00D63CFB" w:rsidP="00F77820"/>
        </w:tc>
        <w:tc>
          <w:tcPr>
            <w:tcW w:w="4306" w:type="dxa"/>
          </w:tcPr>
          <w:p w:rsidR="00D63CFB" w:rsidRDefault="00D63CFB" w:rsidP="00F77820"/>
        </w:tc>
      </w:tr>
      <w:tr w:rsidR="00F77820" w:rsidTr="00C10C4E">
        <w:trPr>
          <w:trHeight w:val="1008"/>
        </w:trPr>
        <w:tc>
          <w:tcPr>
            <w:tcW w:w="2070" w:type="dxa"/>
          </w:tcPr>
          <w:p w:rsidR="00F77820" w:rsidRPr="009E707E" w:rsidRDefault="00D63CFB" w:rsidP="00D63CFB">
            <w:pPr>
              <w:pStyle w:val="Heading1"/>
              <w:jc w:val="center"/>
              <w:outlineLvl w:val="0"/>
              <w:rPr>
                <w:sz w:val="28"/>
              </w:rPr>
            </w:pPr>
            <w:r w:rsidRPr="009E707E">
              <w:rPr>
                <w:sz w:val="28"/>
              </w:rPr>
              <w:t>PEAK</w:t>
            </w:r>
          </w:p>
        </w:tc>
        <w:tc>
          <w:tcPr>
            <w:tcW w:w="4419" w:type="dxa"/>
          </w:tcPr>
          <w:p w:rsidR="00D63CFB" w:rsidRDefault="00D63CFB" w:rsidP="00F77820"/>
        </w:tc>
        <w:tc>
          <w:tcPr>
            <w:tcW w:w="4306" w:type="dxa"/>
          </w:tcPr>
          <w:p w:rsidR="00D63CFB" w:rsidRDefault="00D63CFB" w:rsidP="00F77820"/>
        </w:tc>
      </w:tr>
      <w:tr w:rsidR="00F77820" w:rsidTr="00C10C4E">
        <w:trPr>
          <w:trHeight w:val="1008"/>
        </w:trPr>
        <w:tc>
          <w:tcPr>
            <w:tcW w:w="2070" w:type="dxa"/>
          </w:tcPr>
          <w:p w:rsidR="00F77820" w:rsidRPr="009E707E" w:rsidRDefault="00D63CFB" w:rsidP="00D63CFB">
            <w:pPr>
              <w:pStyle w:val="Heading1"/>
              <w:jc w:val="center"/>
              <w:outlineLvl w:val="0"/>
              <w:rPr>
                <w:sz w:val="28"/>
              </w:rPr>
            </w:pPr>
            <w:r w:rsidRPr="009E707E">
              <w:rPr>
                <w:sz w:val="28"/>
              </w:rPr>
              <w:t>DE-ESCALATION</w:t>
            </w:r>
          </w:p>
        </w:tc>
        <w:tc>
          <w:tcPr>
            <w:tcW w:w="4419" w:type="dxa"/>
          </w:tcPr>
          <w:p w:rsidR="00D63CFB" w:rsidRDefault="00D63CFB" w:rsidP="00F77820"/>
        </w:tc>
        <w:tc>
          <w:tcPr>
            <w:tcW w:w="4306" w:type="dxa"/>
          </w:tcPr>
          <w:p w:rsidR="00D63CFB" w:rsidRDefault="00D63CFB" w:rsidP="00F77820"/>
        </w:tc>
      </w:tr>
      <w:tr w:rsidR="00F77820" w:rsidTr="00C10C4E">
        <w:trPr>
          <w:trHeight w:val="1008"/>
        </w:trPr>
        <w:tc>
          <w:tcPr>
            <w:tcW w:w="2070" w:type="dxa"/>
          </w:tcPr>
          <w:p w:rsidR="00F77820" w:rsidRPr="009E707E" w:rsidRDefault="00D63CFB" w:rsidP="00D63CFB">
            <w:pPr>
              <w:pStyle w:val="Heading1"/>
              <w:jc w:val="center"/>
              <w:outlineLvl w:val="0"/>
              <w:rPr>
                <w:sz w:val="28"/>
              </w:rPr>
            </w:pPr>
            <w:r w:rsidRPr="009E707E">
              <w:rPr>
                <w:sz w:val="28"/>
              </w:rPr>
              <w:t>RECOVERY</w:t>
            </w:r>
          </w:p>
        </w:tc>
        <w:tc>
          <w:tcPr>
            <w:tcW w:w="4419" w:type="dxa"/>
          </w:tcPr>
          <w:p w:rsidR="00D63CFB" w:rsidRDefault="00D63CFB" w:rsidP="00F77820"/>
        </w:tc>
        <w:tc>
          <w:tcPr>
            <w:tcW w:w="4306" w:type="dxa"/>
          </w:tcPr>
          <w:p w:rsidR="00D63CFB" w:rsidRDefault="00D63CFB" w:rsidP="00F77820"/>
        </w:tc>
      </w:tr>
    </w:tbl>
    <w:bookmarkStart w:id="0" w:name="_GoBack"/>
    <w:bookmarkEnd w:id="0"/>
    <w:p w:rsidR="00F77820" w:rsidRPr="00F77820" w:rsidRDefault="00152292" w:rsidP="002F22D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E113E" wp14:editId="72C85C73">
                <wp:simplePos x="0" y="0"/>
                <wp:positionH relativeFrom="column">
                  <wp:posOffset>1329974</wp:posOffset>
                </wp:positionH>
                <wp:positionV relativeFrom="paragraph">
                  <wp:posOffset>676275</wp:posOffset>
                </wp:positionV>
                <wp:extent cx="709570" cy="1323397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0" cy="1323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292" w:rsidRPr="00152292" w:rsidRDefault="00152292" w:rsidP="0015229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52292">
                              <w:rPr>
                                <w:color w:val="000000" w:themeColor="text1"/>
                                <w:sz w:val="24"/>
                              </w:rPr>
                              <w:t>Intensity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E113E" id="Rectangle 3" o:spid="_x0000_s1026" style="position:absolute;left:0;text-align:left;margin-left:104.7pt;margin-top:53.25pt;width:55.85pt;height:10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" filled="f" stroked="f" strokeweight="1pt">
                <v:textbox style="layout-flow:vertical;mso-layout-flow-alt:bottom-to-top">
                  <w:txbxContent>
                    <w:p w:rsidR="00152292" w:rsidRPr="00152292" w:rsidRDefault="00152292" w:rsidP="0015229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152292">
                        <w:rPr>
                          <w:color w:val="000000" w:themeColor="text1"/>
                          <w:sz w:val="24"/>
                        </w:rPr>
                        <w:t>Intensity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CB0B7" wp14:editId="1BA44F59">
                <wp:simplePos x="0" y="0"/>
                <wp:positionH relativeFrom="column">
                  <wp:posOffset>3150235</wp:posOffset>
                </wp:positionH>
                <wp:positionV relativeFrom="paragraph">
                  <wp:posOffset>1850390</wp:posOffset>
                </wp:positionV>
                <wp:extent cx="586854" cy="1323397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6854" cy="1323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292" w:rsidRDefault="00152292" w:rsidP="0015229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Time</w:t>
                            </w:r>
                          </w:p>
                          <w:p w:rsidR="00152292" w:rsidRPr="00152292" w:rsidRDefault="00152292" w:rsidP="00152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CB0B7" id="Rectangle 4" o:spid="_x0000_s1027" style="position:absolute;left:0;text-align:left;margin-left:248.05pt;margin-top:145.7pt;width:46.2pt;height:104.2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" filled="f" stroked="f" strokeweight="1pt">
                <v:textbox style="layout-flow:vertical;mso-layout-flow-alt:bottom-to-top">
                  <w:txbxContent>
                    <w:p w:rsidR="00152292" w:rsidRDefault="00152292" w:rsidP="0015229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Time</w:t>
                      </w:r>
                    </w:p>
                    <w:p w:rsidR="00152292" w:rsidRPr="00152292" w:rsidRDefault="00152292" w:rsidP="0015229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984CE45" wp14:editId="46E9E4BD">
            <wp:simplePos x="0" y="0"/>
            <wp:positionH relativeFrom="column">
              <wp:posOffset>1671851</wp:posOffset>
            </wp:positionH>
            <wp:positionV relativeFrom="paragraph">
              <wp:posOffset>35152</wp:posOffset>
            </wp:positionV>
            <wp:extent cx="3462020" cy="2446494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escalation Graph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215" cy="2461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2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2428504</wp:posOffset>
                </wp:positionH>
                <wp:positionV relativeFrom="paragraph">
                  <wp:posOffset>971492</wp:posOffset>
                </wp:positionV>
                <wp:extent cx="344170" cy="356235"/>
                <wp:effectExtent l="0" t="0" r="17780" b="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56235"/>
                        </a:xfrm>
                        <a:prstGeom prst="arc">
                          <a:avLst>
                            <a:gd name="adj1" fmla="val 21128813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607B4" id="Arc 2" o:spid="_x0000_s1026" style="position:absolute;margin-left:191.2pt;margin-top:76.5pt;width:27.1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170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" path="m342662,154590nsc343666,162389,344170,170249,344170,178117r-172085,1l342662,154590xem342662,154590nfc343666,162389,344170,170249,344170,178117e" filled="f" strokecolor="#5b9bd5 [3204]" strokeweight=".5pt">
                <v:stroke joinstyle="miter"/>
                <v:path arrowok="t" o:connecttype="custom" o:connectlocs="342662,154590;344170,178117" o:connectangles="0,0"/>
              </v:shape>
            </w:pict>
          </mc:Fallback>
        </mc:AlternateContent>
      </w:r>
    </w:p>
    <w:sectPr w:rsidR="00F77820" w:rsidRPr="00F77820" w:rsidSect="00333535">
      <w:footerReference w:type="default" r:id="rId7"/>
      <w:pgSz w:w="12240" w:h="15840"/>
      <w:pgMar w:top="540" w:right="720" w:bottom="2430" w:left="720" w:header="720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FB" w:rsidRDefault="00D63CFB" w:rsidP="00D63CFB">
      <w:pPr>
        <w:spacing w:after="0" w:line="240" w:lineRule="auto"/>
      </w:pPr>
      <w:r>
        <w:separator/>
      </w:r>
    </w:p>
  </w:endnote>
  <w:endnote w:type="continuationSeparator" w:id="0">
    <w:p w:rsidR="00D63CFB" w:rsidRDefault="00D63CFB" w:rsidP="00D6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35" w:rsidRDefault="00333535" w:rsidP="00333535">
    <w:pPr>
      <w:pStyle w:val="Header"/>
    </w:pPr>
  </w:p>
  <w:p w:rsidR="00333535" w:rsidRDefault="00333535" w:rsidP="00333535"/>
  <w:p w:rsidR="00333535" w:rsidRDefault="00333535" w:rsidP="00333535">
    <w:pPr>
      <w:pStyle w:val="Footer"/>
    </w:pPr>
  </w:p>
  <w:p w:rsidR="00333535" w:rsidRDefault="00333535" w:rsidP="00333535"/>
  <w:p w:rsidR="00333535" w:rsidRDefault="00333535" w:rsidP="00333535">
    <w:pPr>
      <w:pStyle w:val="Footer"/>
    </w:pPr>
    <w:r>
      <w:t>Adapted from Box 14.1 Complete Behavior Support Plan (see p. 203)</w:t>
    </w:r>
  </w:p>
  <w:p w:rsidR="00333535" w:rsidRDefault="00333535" w:rsidP="00333535">
    <w:pPr>
      <w:pStyle w:val="Footer"/>
      <w:ind w:left="720" w:hanging="720"/>
    </w:pPr>
    <w:r>
      <w:t xml:space="preserve">Colvin, G. &amp; Scott, T. M. (2015). </w:t>
    </w:r>
    <w:r w:rsidRPr="00D77981">
      <w:rPr>
        <w:i/>
      </w:rPr>
      <w:t>Managing the cycle of acting-out behavior in the classroom</w:t>
    </w:r>
    <w:r>
      <w:t xml:space="preserve"> (2</w:t>
    </w:r>
    <w:r w:rsidRPr="009E707E">
      <w:rPr>
        <w:vertAlign w:val="superscript"/>
      </w:rPr>
      <w:t>nd</w:t>
    </w:r>
    <w:r>
      <w:t xml:space="preserve"> ed.). Thousand Oaks, CA: Corwin. </w:t>
    </w:r>
  </w:p>
  <w:p w:rsidR="00333535" w:rsidRDefault="00333535" w:rsidP="00333535">
    <w:pPr>
      <w:pStyle w:val="Footer"/>
    </w:pPr>
    <w:r>
      <w:t>Please use reference above for more examples and information on how to use this intervention.</w:t>
    </w:r>
  </w:p>
  <w:p w:rsidR="00D63CFB" w:rsidRPr="00333535" w:rsidRDefault="00D63CFB" w:rsidP="00333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FB" w:rsidRDefault="00D63CFB" w:rsidP="00D63CFB">
      <w:pPr>
        <w:spacing w:after="0" w:line="240" w:lineRule="auto"/>
      </w:pPr>
      <w:r>
        <w:separator/>
      </w:r>
    </w:p>
  </w:footnote>
  <w:footnote w:type="continuationSeparator" w:id="0">
    <w:p w:rsidR="00D63CFB" w:rsidRDefault="00D63CFB" w:rsidP="00D6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20"/>
    <w:rsid w:val="00152292"/>
    <w:rsid w:val="002F22D4"/>
    <w:rsid w:val="00333535"/>
    <w:rsid w:val="00400A36"/>
    <w:rsid w:val="006A1283"/>
    <w:rsid w:val="007546C5"/>
    <w:rsid w:val="007D2056"/>
    <w:rsid w:val="00926EEE"/>
    <w:rsid w:val="009E707E"/>
    <w:rsid w:val="009E75C1"/>
    <w:rsid w:val="00BB14FD"/>
    <w:rsid w:val="00C10C4E"/>
    <w:rsid w:val="00C41D8D"/>
    <w:rsid w:val="00D63CFB"/>
    <w:rsid w:val="00F7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661FB5-3120-4E38-BDFC-72E8D88E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820"/>
  </w:style>
  <w:style w:type="paragraph" w:styleId="Heading1">
    <w:name w:val="heading 1"/>
    <w:basedOn w:val="Normal"/>
    <w:next w:val="Normal"/>
    <w:link w:val="Heading1Char"/>
    <w:uiPriority w:val="9"/>
    <w:qFormat/>
    <w:rsid w:val="00F7782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82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8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78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7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78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8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8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8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82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7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7782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782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82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782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82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82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82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782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7782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7782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782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782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77820"/>
    <w:rPr>
      <w:b/>
      <w:bCs/>
    </w:rPr>
  </w:style>
  <w:style w:type="character" w:styleId="Emphasis">
    <w:name w:val="Emphasis"/>
    <w:basedOn w:val="DefaultParagraphFont"/>
    <w:uiPriority w:val="20"/>
    <w:qFormat/>
    <w:rsid w:val="00F77820"/>
    <w:rPr>
      <w:i/>
      <w:iCs/>
    </w:rPr>
  </w:style>
  <w:style w:type="paragraph" w:styleId="NoSpacing">
    <w:name w:val="No Spacing"/>
    <w:uiPriority w:val="1"/>
    <w:qFormat/>
    <w:rsid w:val="00F778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782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782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782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782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7782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78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782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7782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7782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7820"/>
    <w:pPr>
      <w:outlineLvl w:val="9"/>
    </w:pPr>
  </w:style>
  <w:style w:type="table" w:styleId="TableGrid">
    <w:name w:val="Table Grid"/>
    <w:basedOn w:val="TableNormal"/>
    <w:uiPriority w:val="39"/>
    <w:rsid w:val="00F7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FB"/>
  </w:style>
  <w:style w:type="paragraph" w:styleId="Footer">
    <w:name w:val="footer"/>
    <w:basedOn w:val="Normal"/>
    <w:link w:val="FooterChar"/>
    <w:uiPriority w:val="99"/>
    <w:unhideWhenUsed/>
    <w:rsid w:val="00D6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Cantwell, Emily Dawn</cp:lastModifiedBy>
  <cp:revision>10</cp:revision>
  <dcterms:created xsi:type="dcterms:W3CDTF">2015-07-31T18:28:00Z</dcterms:created>
  <dcterms:modified xsi:type="dcterms:W3CDTF">2016-08-10T16:51:00Z</dcterms:modified>
</cp:coreProperties>
</file>